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263B" w:rsidRPr="00CB562F" w:rsidRDefault="00E8263B" w:rsidP="00E8263B">
      <w:pPr>
        <w:pStyle w:val="NoSpacing"/>
        <w:jc w:val="center"/>
        <w:rPr>
          <w:rFonts w:cstheme="minorHAnsi"/>
          <w:b/>
          <w:bCs/>
          <w:color w:val="000000" w:themeColor="text1"/>
          <w:sz w:val="28"/>
          <w:szCs w:val="28"/>
        </w:rPr>
      </w:pPr>
      <w:r w:rsidRPr="00CB562F">
        <w:rPr>
          <w:rFonts w:cstheme="minorHAnsi"/>
          <w:b/>
          <w:bCs/>
          <w:color w:val="000000" w:themeColor="text1"/>
          <w:sz w:val="28"/>
          <w:szCs w:val="28"/>
        </w:rPr>
        <w:t>A  Comparative</w:t>
      </w:r>
      <w:r>
        <w:rPr>
          <w:rFonts w:cstheme="minorHAnsi"/>
          <w:b/>
          <w:bCs/>
          <w:color w:val="000000" w:themeColor="text1"/>
          <w:sz w:val="28"/>
          <w:szCs w:val="28"/>
        </w:rPr>
        <w:t xml:space="preserve"> </w:t>
      </w:r>
      <w:r w:rsidRPr="00CB562F">
        <w:rPr>
          <w:rFonts w:cstheme="minorHAnsi"/>
          <w:b/>
          <w:bCs/>
          <w:color w:val="000000" w:themeColor="text1"/>
          <w:sz w:val="28"/>
          <w:szCs w:val="28"/>
        </w:rPr>
        <w:t xml:space="preserve">study Of Audio-Visual Reaction Time In </w:t>
      </w:r>
    </w:p>
    <w:p w:rsidR="00E8263B" w:rsidRPr="00CB562F" w:rsidRDefault="00E8263B" w:rsidP="00E8263B">
      <w:pPr>
        <w:pStyle w:val="NoSpacing"/>
        <w:jc w:val="center"/>
        <w:rPr>
          <w:rFonts w:cstheme="minorHAnsi"/>
          <w:color w:val="000000" w:themeColor="text1"/>
        </w:rPr>
      </w:pPr>
      <w:r w:rsidRPr="00CB562F">
        <w:rPr>
          <w:rFonts w:cstheme="minorHAnsi"/>
          <w:b/>
          <w:bCs/>
          <w:color w:val="000000" w:themeColor="text1"/>
          <w:sz w:val="28"/>
          <w:szCs w:val="28"/>
        </w:rPr>
        <w:t>Anemic And Non-Anemic Adolescent Girls.</w:t>
      </w:r>
    </w:p>
    <w:p w:rsidR="00E8263B" w:rsidRPr="00CB562F" w:rsidRDefault="00E8263B" w:rsidP="00E8263B">
      <w:pPr>
        <w:pStyle w:val="NoSpacing"/>
        <w:pBdr>
          <w:bottom w:val="single" w:sz="12" w:space="1" w:color="auto"/>
        </w:pBdr>
        <w:jc w:val="center"/>
        <w:rPr>
          <w:rFonts w:cstheme="minorHAnsi"/>
          <w:b/>
          <w:bCs/>
          <w:color w:val="000000" w:themeColor="text1"/>
        </w:rPr>
      </w:pPr>
      <w:r w:rsidRPr="00CB562F">
        <w:rPr>
          <w:rFonts w:cstheme="minorHAnsi"/>
          <w:b/>
          <w:bCs/>
          <w:color w:val="000000" w:themeColor="text1"/>
        </w:rPr>
        <w:t>Mishra N V, Sonwane T D</w:t>
      </w:r>
    </w:p>
    <w:p w:rsidR="00E8263B" w:rsidRPr="00CB562F" w:rsidRDefault="00E8263B" w:rsidP="00E8263B">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Department of Physiology, Government Medical College, Nagpur- 440003. Maharashtra, India.</w:t>
      </w:r>
    </w:p>
    <w:p w:rsidR="00E8263B" w:rsidRPr="00CB562F" w:rsidRDefault="00E8263B" w:rsidP="00E8263B">
      <w:pPr>
        <w:pStyle w:val="NoSpacing"/>
        <w:jc w:val="both"/>
        <w:rPr>
          <w:rFonts w:cstheme="minorHAnsi"/>
          <w:color w:val="000000" w:themeColor="text1"/>
        </w:rPr>
      </w:pPr>
      <w:r w:rsidRPr="00CB562F">
        <w:rPr>
          <w:rFonts w:cstheme="minorHAnsi"/>
          <w:b/>
          <w:bCs/>
          <w:color w:val="000000" w:themeColor="text1"/>
        </w:rPr>
        <w:t>Abstract</w:t>
      </w:r>
      <w:r w:rsidRPr="00CB562F">
        <w:rPr>
          <w:rFonts w:cstheme="minorHAnsi"/>
          <w:color w:val="000000" w:themeColor="text1"/>
        </w:rPr>
        <w:t xml:space="preserve"> </w:t>
      </w:r>
      <w:r w:rsidRPr="00CB562F">
        <w:rPr>
          <w:rFonts w:cstheme="minorHAnsi"/>
          <w:b/>
          <w:bCs/>
          <w:color w:val="000000" w:themeColor="text1"/>
        </w:rPr>
        <w:t>Background and objectives:</w:t>
      </w:r>
      <w:r w:rsidRPr="00CB562F">
        <w:rPr>
          <w:rFonts w:cstheme="minorHAnsi"/>
          <w:color w:val="000000" w:themeColor="text1"/>
        </w:rPr>
        <w:t xml:space="preserve"> Anemia is common and severe problem in adolescent girls in many developing countries including India. Decreased hemoglobin levels may lead to decreased attentiveness and low neuronal metabolic activity. The main aim of this study was to observe and compare the effects of hemoglobin level on auditory and visual reaction time in normal and anemic girls of same age group. </w:t>
      </w:r>
      <w:r w:rsidRPr="00CB562F">
        <w:rPr>
          <w:rFonts w:cstheme="minorHAnsi"/>
          <w:b/>
          <w:bCs/>
          <w:color w:val="000000" w:themeColor="text1"/>
        </w:rPr>
        <w:t xml:space="preserve">Method: </w:t>
      </w:r>
      <w:r w:rsidRPr="00CB562F">
        <w:rPr>
          <w:rFonts w:cstheme="minorHAnsi"/>
          <w:color w:val="000000" w:themeColor="text1"/>
        </w:rPr>
        <w:t>Adolescent girls of age group 17-19 years have been selected. Hemoglobin estimation was done using Sahali’s Hemoglobinometer. After haemoglobin estimation two groups were made. Group I (n=30) with estimated haemoglobin concentration ≥12 gm%. Group II (n=30) with estimatedhaemoglobin concentration&lt;12gm%.Auditory and visual reaction time have been measured using ‘Reaction time analyser’.Observations have been statistically analysed .</w:t>
      </w:r>
      <w:r w:rsidRPr="00CB562F">
        <w:rPr>
          <w:rFonts w:cstheme="minorHAnsi"/>
          <w:b/>
          <w:bCs/>
          <w:color w:val="000000" w:themeColor="text1"/>
        </w:rPr>
        <w:t xml:space="preserve">Results: </w:t>
      </w:r>
      <w:r w:rsidRPr="00CB562F">
        <w:rPr>
          <w:rFonts w:cstheme="minorHAnsi"/>
          <w:color w:val="000000" w:themeColor="text1"/>
        </w:rPr>
        <w:t xml:space="preserve">The difference in auditory and visual reaction time between two groups was found to be significant (p&lt;0.05).Interpretation and </w:t>
      </w:r>
      <w:r w:rsidRPr="00CB562F">
        <w:rPr>
          <w:rFonts w:cstheme="minorHAnsi"/>
          <w:b/>
          <w:bCs/>
          <w:color w:val="000000" w:themeColor="text1"/>
        </w:rPr>
        <w:t xml:space="preserve">Conclusion: </w:t>
      </w:r>
      <w:r w:rsidRPr="00CB562F">
        <w:rPr>
          <w:rFonts w:cstheme="minorHAnsi"/>
          <w:color w:val="000000" w:themeColor="text1"/>
        </w:rPr>
        <w:t>Both auditory and visual reaction time were found to be delayed in Group II having hemoglobin&lt;12gm% as compared to those having hemoglobin ≥ 12gm%. Sensorimotor performance is affected in anemic individuals.</w:t>
      </w:r>
    </w:p>
    <w:p w:rsidR="00E8263B" w:rsidRPr="00CB562F" w:rsidRDefault="00E8263B" w:rsidP="00E8263B">
      <w:pPr>
        <w:pStyle w:val="NoSpacing"/>
        <w:rPr>
          <w:rFonts w:cstheme="minorHAnsi"/>
          <w:color w:val="000000" w:themeColor="text1"/>
        </w:rPr>
      </w:pPr>
      <w:r w:rsidRPr="00CB562F">
        <w:rPr>
          <w:rFonts w:cstheme="minorHAnsi"/>
          <w:b/>
          <w:bCs/>
          <w:color w:val="000000" w:themeColor="text1"/>
        </w:rPr>
        <w:t>Key Words:</w:t>
      </w:r>
      <w:r w:rsidRPr="00CB562F">
        <w:rPr>
          <w:rFonts w:cstheme="minorHAnsi"/>
          <w:color w:val="000000" w:themeColor="text1"/>
        </w:rPr>
        <w:t xml:space="preserve"> Adolescent girls, Anemia, Reaction time.</w:t>
      </w:r>
    </w:p>
    <w:p w:rsidR="00E8263B" w:rsidRPr="00CB562F" w:rsidRDefault="00E8263B" w:rsidP="00E8263B">
      <w:pPr>
        <w:pStyle w:val="NoSpacing"/>
        <w:pBdr>
          <w:top w:val="single" w:sz="12" w:space="1" w:color="auto"/>
          <w:bottom w:val="single" w:sz="12" w:space="1" w:color="auto"/>
        </w:pBdr>
        <w:jc w:val="both"/>
        <w:rPr>
          <w:rFonts w:cstheme="minorHAnsi"/>
          <w:color w:val="000000" w:themeColor="text1"/>
        </w:rPr>
      </w:pPr>
      <w:r w:rsidRPr="00CB562F">
        <w:rPr>
          <w:rFonts w:cstheme="minorHAnsi"/>
          <w:b/>
          <w:color w:val="000000" w:themeColor="text1"/>
        </w:rPr>
        <w:t>Author for correspondence:</w:t>
      </w:r>
      <w:r w:rsidRPr="00CB562F">
        <w:rPr>
          <w:rFonts w:cstheme="minorHAnsi"/>
          <w:color w:val="000000" w:themeColor="text1"/>
        </w:rPr>
        <w:t xml:space="preserve"> Tejaswini.D.Sonwane, 18, New PG Hostel, GMC campus, Nagpur, Maharashtra, India. Email ID:-sonwane_tejaswini@yahoo.in </w:t>
      </w:r>
    </w:p>
    <w:p w:rsidR="00E8263B" w:rsidRPr="00CB562F" w:rsidRDefault="00E8263B" w:rsidP="00E8263B">
      <w:pPr>
        <w:pStyle w:val="NoSpacing"/>
        <w:pBdr>
          <w:top w:val="single" w:sz="12" w:space="1" w:color="auto"/>
          <w:bottom w:val="single" w:sz="12" w:space="1" w:color="auto"/>
        </w:pBdr>
        <w:jc w:val="both"/>
        <w:rPr>
          <w:rFonts w:cstheme="minorHAnsi"/>
          <w:b/>
          <w:color w:val="000000" w:themeColor="text1"/>
          <w:sz w:val="24"/>
          <w:szCs w:val="24"/>
        </w:rPr>
        <w:sectPr w:rsidR="00E8263B" w:rsidRPr="00CB562F" w:rsidSect="00F9738B">
          <w:type w:val="continuous"/>
          <w:pgSz w:w="11907" w:h="16839" w:code="9"/>
          <w:pgMar w:top="1440" w:right="864" w:bottom="864" w:left="1440" w:header="720" w:footer="144" w:gutter="0"/>
          <w:pgNumType w:start="78"/>
          <w:cols w:space="720"/>
          <w:docGrid w:linePitch="360"/>
        </w:sectPr>
      </w:pPr>
    </w:p>
    <w:p w:rsidR="00E8263B" w:rsidRPr="00CB562F" w:rsidRDefault="00E8263B" w:rsidP="00E8263B">
      <w:pPr>
        <w:pStyle w:val="NoSpacing"/>
        <w:jc w:val="both"/>
        <w:rPr>
          <w:rFonts w:cstheme="minorHAnsi"/>
          <w:color w:val="000000" w:themeColor="text1"/>
        </w:rPr>
      </w:pPr>
      <w:r w:rsidRPr="00CB562F">
        <w:rPr>
          <w:rFonts w:cstheme="minorHAnsi"/>
          <w:b/>
          <w:bCs/>
          <w:color w:val="000000" w:themeColor="text1"/>
        </w:rPr>
        <w:lastRenderedPageBreak/>
        <w:t>Introduction:</w:t>
      </w:r>
      <w:r w:rsidRPr="00CB562F">
        <w:rPr>
          <w:rFonts w:cstheme="minorHAnsi"/>
          <w:color w:val="000000" w:themeColor="text1"/>
        </w:rPr>
        <w:t xml:space="preserve"> Anemia is a major public health problem. Anemia is a common and severe problem in many developing countries including India. The WHO estimates that, worldwide 1.6 to 2 billion people are anemic</w:t>
      </w:r>
      <w:r w:rsidRPr="00CB562F">
        <w:rPr>
          <w:rFonts w:cstheme="minorHAnsi"/>
          <w:color w:val="000000" w:themeColor="text1"/>
          <w:vertAlign w:val="superscript"/>
        </w:rPr>
        <w:t>1.</w:t>
      </w:r>
      <w:r w:rsidRPr="00CB562F">
        <w:rPr>
          <w:rFonts w:cstheme="minorHAnsi"/>
          <w:color w:val="000000" w:themeColor="text1"/>
        </w:rPr>
        <w:t>. Anemia affects mainly the women in reproductive age group and adolescent girls. Adolescent girls are at greater risk of developing anemia because of their poor dietary intake compared to greater physiological requirements</w:t>
      </w:r>
      <w:r w:rsidRPr="00CB562F">
        <w:rPr>
          <w:rFonts w:cstheme="minorHAnsi"/>
          <w:color w:val="000000" w:themeColor="text1"/>
          <w:vertAlign w:val="superscript"/>
        </w:rPr>
        <w:t>2</w:t>
      </w:r>
      <w:r w:rsidRPr="00CB562F">
        <w:rPr>
          <w:rFonts w:cstheme="minorHAnsi"/>
          <w:color w:val="000000" w:themeColor="text1"/>
        </w:rPr>
        <w:t>.</w:t>
      </w:r>
    </w:p>
    <w:p w:rsidR="00E8263B" w:rsidRPr="00CB562F" w:rsidRDefault="00E8263B" w:rsidP="00E8263B">
      <w:pPr>
        <w:pStyle w:val="NoSpacing"/>
        <w:jc w:val="both"/>
        <w:rPr>
          <w:rFonts w:cstheme="minorHAnsi"/>
          <w:color w:val="000000" w:themeColor="text1"/>
        </w:rPr>
      </w:pPr>
    </w:p>
    <w:p w:rsidR="00E8263B" w:rsidRPr="00CB562F" w:rsidRDefault="00E8263B" w:rsidP="00E8263B">
      <w:pPr>
        <w:pStyle w:val="NoSpacing"/>
        <w:jc w:val="both"/>
        <w:rPr>
          <w:rFonts w:cstheme="minorHAnsi"/>
          <w:color w:val="000000" w:themeColor="text1"/>
        </w:rPr>
      </w:pPr>
      <w:r w:rsidRPr="00CB562F">
        <w:rPr>
          <w:rFonts w:cstheme="minorHAnsi"/>
          <w:color w:val="000000" w:themeColor="text1"/>
        </w:rPr>
        <w:t>Decreased hemoglobin levels may lead to decreased attentiveness and low neuronal metabolic activity. While observational evidences suggest a strong link between anemia and cognitive deficit, the evidence of the causal link through interventional studies is limited</w:t>
      </w:r>
      <w:r w:rsidRPr="00CB562F">
        <w:rPr>
          <w:rFonts w:cstheme="minorHAnsi"/>
          <w:color w:val="000000" w:themeColor="text1"/>
          <w:vertAlign w:val="superscript"/>
        </w:rPr>
        <w:t>3</w:t>
      </w:r>
      <w:r w:rsidRPr="00CB562F">
        <w:rPr>
          <w:rFonts w:cstheme="minorHAnsi"/>
          <w:color w:val="000000" w:themeColor="text1"/>
        </w:rPr>
        <w:t>.</w:t>
      </w:r>
    </w:p>
    <w:p w:rsidR="00E8263B" w:rsidRPr="00CB562F" w:rsidRDefault="00E8263B" w:rsidP="00E8263B">
      <w:pPr>
        <w:pStyle w:val="NoSpacing"/>
        <w:jc w:val="both"/>
        <w:rPr>
          <w:rFonts w:cstheme="minorHAnsi"/>
          <w:color w:val="000000" w:themeColor="text1"/>
        </w:rPr>
      </w:pPr>
    </w:p>
    <w:p w:rsidR="00E8263B" w:rsidRPr="00CB562F" w:rsidRDefault="00E8263B" w:rsidP="00E8263B">
      <w:pPr>
        <w:pStyle w:val="NoSpacing"/>
        <w:jc w:val="both"/>
        <w:rPr>
          <w:rFonts w:cstheme="minorHAnsi"/>
          <w:color w:val="000000" w:themeColor="text1"/>
        </w:rPr>
      </w:pPr>
      <w:r w:rsidRPr="00CB562F">
        <w:rPr>
          <w:rFonts w:cstheme="minorHAnsi"/>
          <w:color w:val="000000" w:themeColor="text1"/>
        </w:rPr>
        <w:t>Reaction time is an indicator of cognitive function. Reaction time is the time interval between the application of a stimulus and the appearance of appropriate voluntary response by a subject. It involves stimulus processing, decision making, attention mechanism and response programming</w:t>
      </w:r>
      <w:r w:rsidRPr="00CB562F">
        <w:rPr>
          <w:rFonts w:cstheme="minorHAnsi"/>
          <w:color w:val="000000" w:themeColor="text1"/>
          <w:vertAlign w:val="superscript"/>
        </w:rPr>
        <w:t>4</w:t>
      </w:r>
      <w:r w:rsidRPr="00CB562F">
        <w:rPr>
          <w:rFonts w:cstheme="minorHAnsi"/>
          <w:color w:val="000000" w:themeColor="text1"/>
        </w:rPr>
        <w:t>.</w:t>
      </w:r>
    </w:p>
    <w:p w:rsidR="00E8263B" w:rsidRPr="00CB562F" w:rsidRDefault="00E8263B" w:rsidP="00E8263B">
      <w:pPr>
        <w:pStyle w:val="NoSpacing"/>
        <w:jc w:val="both"/>
        <w:rPr>
          <w:rFonts w:cstheme="minorHAnsi"/>
          <w:color w:val="000000" w:themeColor="text1"/>
        </w:rPr>
      </w:pPr>
      <w:r w:rsidRPr="00CB562F">
        <w:rPr>
          <w:rFonts w:cstheme="minorHAnsi"/>
          <w:color w:val="000000" w:themeColor="text1"/>
        </w:rPr>
        <w:t xml:space="preserve"> Some studies show infants who experience anemia during the first 6-12 months of  life are likely to experience persistent effects of the deficiency that alter functioning in adulthood . It may be attributed to nerve conduction velocity in anemic infants</w:t>
      </w:r>
      <w:r w:rsidRPr="00CB562F">
        <w:rPr>
          <w:rFonts w:cstheme="minorHAnsi"/>
          <w:color w:val="000000" w:themeColor="text1"/>
          <w:vertAlign w:val="superscript"/>
        </w:rPr>
        <w:t>5</w:t>
      </w:r>
      <w:r w:rsidRPr="00CB562F">
        <w:rPr>
          <w:rFonts w:cstheme="minorHAnsi"/>
          <w:color w:val="000000" w:themeColor="text1"/>
        </w:rPr>
        <w:t>.</w:t>
      </w:r>
    </w:p>
    <w:p w:rsidR="00E8263B" w:rsidRPr="00CB562F" w:rsidRDefault="00E8263B" w:rsidP="00E8263B">
      <w:pPr>
        <w:pStyle w:val="NoSpacing"/>
        <w:jc w:val="both"/>
        <w:rPr>
          <w:rFonts w:cstheme="minorHAnsi"/>
          <w:color w:val="000000" w:themeColor="text1"/>
        </w:rPr>
      </w:pPr>
      <w:r w:rsidRPr="00CB562F">
        <w:rPr>
          <w:rFonts w:cstheme="minorHAnsi"/>
          <w:color w:val="000000" w:themeColor="text1"/>
        </w:rPr>
        <w:t xml:space="preserve">A9 dopaminergic neurons form the nigrostriatal pathway and are involved in regulating voluntary </w:t>
      </w:r>
      <w:r w:rsidRPr="00CB562F">
        <w:rPr>
          <w:rFonts w:cstheme="minorHAnsi"/>
          <w:color w:val="000000" w:themeColor="text1"/>
        </w:rPr>
        <w:lastRenderedPageBreak/>
        <w:t>movements and postural reflexes. Gene expression analyses of A9 dopaminergi neurons identifies transcripts for alpha and beta chains of haemoglobin.The loss of these neurons disrupts the ability to control movements</w:t>
      </w:r>
      <w:r w:rsidRPr="00CB562F">
        <w:rPr>
          <w:rFonts w:cstheme="minorHAnsi"/>
          <w:color w:val="000000" w:themeColor="text1"/>
          <w:vertAlign w:val="superscript"/>
        </w:rPr>
        <w:t>6</w:t>
      </w:r>
      <w:r w:rsidRPr="00CB562F">
        <w:rPr>
          <w:rFonts w:cstheme="minorHAnsi"/>
          <w:color w:val="000000" w:themeColor="text1"/>
        </w:rPr>
        <w:t>.The rationale of the study is to find a similar causal link between anemia and human reaction time in adolescent girls .</w:t>
      </w:r>
    </w:p>
    <w:p w:rsidR="00E8263B" w:rsidRPr="00CB562F" w:rsidRDefault="00E8263B" w:rsidP="00E8263B">
      <w:pPr>
        <w:pStyle w:val="NoSpacing"/>
        <w:jc w:val="both"/>
        <w:rPr>
          <w:rFonts w:cstheme="minorHAnsi"/>
          <w:color w:val="000000" w:themeColor="text1"/>
        </w:rPr>
      </w:pPr>
    </w:p>
    <w:p w:rsidR="00E8263B" w:rsidRPr="00CB562F" w:rsidRDefault="00E8263B" w:rsidP="00E8263B">
      <w:pPr>
        <w:pStyle w:val="NoSpacing"/>
        <w:jc w:val="both"/>
        <w:rPr>
          <w:rFonts w:cstheme="minorHAnsi"/>
          <w:color w:val="000000" w:themeColor="text1"/>
        </w:rPr>
      </w:pPr>
      <w:r w:rsidRPr="00CB562F">
        <w:rPr>
          <w:rFonts w:cstheme="minorHAnsi"/>
          <w:b/>
          <w:color w:val="000000" w:themeColor="text1"/>
        </w:rPr>
        <w:t>Material and Method:</w:t>
      </w:r>
      <w:r w:rsidRPr="00CB562F">
        <w:rPr>
          <w:rFonts w:cstheme="minorHAnsi"/>
          <w:color w:val="000000" w:themeColor="text1"/>
        </w:rPr>
        <w:t xml:space="preserve"> The present study was conducted in department of physiology, GMC, Nagpur. It was approved by ethical committee.The study group and controls were selected from first year MBBS girl students. Simple random sampling method was followed.The subjects belonged to adolescent age group</w:t>
      </w:r>
      <w:r w:rsidRPr="00CB562F">
        <w:rPr>
          <w:rFonts w:cstheme="minorHAnsi"/>
          <w:color w:val="000000" w:themeColor="text1"/>
          <w:vertAlign w:val="superscript"/>
        </w:rPr>
        <w:t>7</w:t>
      </w:r>
      <w:r w:rsidRPr="00CB562F">
        <w:rPr>
          <w:rFonts w:cstheme="minorHAnsi"/>
          <w:color w:val="000000" w:themeColor="text1"/>
        </w:rPr>
        <w:t xml:space="preserve"> between 17-19 years.</w:t>
      </w:r>
    </w:p>
    <w:p w:rsidR="00E8263B" w:rsidRPr="00CB562F" w:rsidRDefault="00E8263B" w:rsidP="00E8263B">
      <w:pPr>
        <w:pStyle w:val="NoSpacing"/>
        <w:jc w:val="both"/>
        <w:rPr>
          <w:rFonts w:cstheme="minorHAnsi"/>
          <w:color w:val="000000" w:themeColor="text1"/>
        </w:rPr>
      </w:pPr>
    </w:p>
    <w:p w:rsidR="00E8263B" w:rsidRPr="00CB562F" w:rsidRDefault="00E8263B" w:rsidP="00E8263B">
      <w:pPr>
        <w:pStyle w:val="NoSpacing"/>
        <w:jc w:val="both"/>
        <w:rPr>
          <w:rFonts w:cstheme="minorHAnsi"/>
          <w:color w:val="000000" w:themeColor="text1"/>
        </w:rPr>
      </w:pPr>
      <w:r w:rsidRPr="00CB562F">
        <w:rPr>
          <w:rFonts w:cstheme="minorHAnsi"/>
          <w:color w:val="000000" w:themeColor="text1"/>
        </w:rPr>
        <w:t>A written informed consent was obtained.1) Age was recorded from birthdate by calendar to the nearest of year (&lt;6 months and &gt;6 months). 2) Standing height was recorded without shoes and with light cloths on a wall mounted measuring tape in centimeters.3) Weight was recorded without shoes and with light cloths on a weighing machine with a least count of 500grams. 4) BMI was calculated using Quetelet’s index i.e.weight (kg)/ (height in meter)</w:t>
      </w:r>
      <w:r w:rsidRPr="00CB562F">
        <w:rPr>
          <w:rFonts w:cstheme="minorHAnsi"/>
          <w:color w:val="000000" w:themeColor="text1"/>
          <w:vertAlign w:val="superscript"/>
        </w:rPr>
        <w:t>2</w:t>
      </w:r>
      <w:r w:rsidRPr="00CB562F">
        <w:rPr>
          <w:rFonts w:cstheme="minorHAnsi"/>
          <w:color w:val="000000" w:themeColor="text1"/>
        </w:rPr>
        <w:t>.</w:t>
      </w:r>
    </w:p>
    <w:p w:rsidR="00E8263B" w:rsidRPr="00CB562F" w:rsidRDefault="00E8263B" w:rsidP="00E8263B">
      <w:pPr>
        <w:pStyle w:val="NoSpacing"/>
        <w:jc w:val="both"/>
        <w:rPr>
          <w:rFonts w:cstheme="minorHAnsi"/>
          <w:color w:val="000000" w:themeColor="text1"/>
        </w:rPr>
      </w:pPr>
    </w:p>
    <w:p w:rsidR="00E8263B" w:rsidRPr="00CB562F" w:rsidRDefault="00E8263B" w:rsidP="00E8263B">
      <w:pPr>
        <w:pStyle w:val="NoSpacing"/>
        <w:jc w:val="both"/>
        <w:rPr>
          <w:rFonts w:cstheme="minorHAnsi"/>
          <w:color w:val="000000" w:themeColor="text1"/>
        </w:rPr>
      </w:pPr>
      <w:r w:rsidRPr="00CB562F">
        <w:rPr>
          <w:rFonts w:cstheme="minorHAnsi"/>
          <w:color w:val="000000" w:themeColor="text1"/>
        </w:rPr>
        <w:t>Hemoglobin estimation was done with sahali’shemoglobinometer using standard procedure protocol</w:t>
      </w:r>
      <w:r w:rsidRPr="00CB562F">
        <w:rPr>
          <w:rFonts w:cstheme="minorHAnsi"/>
          <w:color w:val="000000" w:themeColor="text1"/>
          <w:vertAlign w:val="superscript"/>
        </w:rPr>
        <w:t>8</w:t>
      </w:r>
      <w:r w:rsidRPr="00CB562F">
        <w:rPr>
          <w:rFonts w:cstheme="minorHAnsi"/>
          <w:color w:val="000000" w:themeColor="text1"/>
        </w:rPr>
        <w:t xml:space="preserve">. After haemoglobin estimation two groups were made.Group I </w:t>
      </w:r>
      <w:r w:rsidRPr="00CB562F">
        <w:rPr>
          <w:rFonts w:cstheme="minorHAnsi"/>
          <w:color w:val="000000" w:themeColor="text1"/>
        </w:rPr>
        <w:lastRenderedPageBreak/>
        <w:t>consist of 30 subjects with estimated hemoglobin ≥12 gm%. Group II consist of 30 subjects with estimated hemoglobin&lt;12gm%.Subjects in Group I  as controls and Group II as cases.</w:t>
      </w:r>
    </w:p>
    <w:p w:rsidR="00E8263B" w:rsidRPr="00CB562F" w:rsidRDefault="00E8263B" w:rsidP="00E8263B">
      <w:pPr>
        <w:pStyle w:val="NoSpacing"/>
        <w:jc w:val="both"/>
        <w:rPr>
          <w:rFonts w:cstheme="minorHAnsi"/>
          <w:color w:val="000000" w:themeColor="text1"/>
        </w:rPr>
      </w:pPr>
    </w:p>
    <w:p w:rsidR="00E8263B" w:rsidRPr="00CB562F" w:rsidRDefault="00E8263B" w:rsidP="00E8263B">
      <w:pPr>
        <w:pStyle w:val="NoSpacing"/>
        <w:jc w:val="both"/>
        <w:rPr>
          <w:rFonts w:cstheme="minorHAnsi"/>
          <w:color w:val="000000" w:themeColor="text1"/>
        </w:rPr>
      </w:pPr>
      <w:r w:rsidRPr="00CB562F">
        <w:rPr>
          <w:rFonts w:cstheme="minorHAnsi"/>
          <w:color w:val="000000" w:themeColor="text1"/>
        </w:rPr>
        <w:t>Exclusion criteria includes neural disease ,muscle disease, hearing impairment and visual impairment.Girls receiving iron supplementation within 1 month were excluded from the study. The study was done during the post menstrual phase of the menstrual cycle to avoid any alteration in their values due to premenstrual phase</w:t>
      </w:r>
      <w:r w:rsidRPr="00CB562F">
        <w:rPr>
          <w:rFonts w:cstheme="minorHAnsi"/>
          <w:color w:val="000000" w:themeColor="text1"/>
          <w:vertAlign w:val="superscript"/>
        </w:rPr>
        <w:t>9</w:t>
      </w:r>
      <w:r w:rsidRPr="00CB562F">
        <w:rPr>
          <w:rFonts w:cstheme="minorHAnsi"/>
          <w:color w:val="000000" w:themeColor="text1"/>
        </w:rPr>
        <w:t>.</w:t>
      </w:r>
    </w:p>
    <w:p w:rsidR="00E8263B" w:rsidRPr="00CB562F" w:rsidRDefault="00E8263B" w:rsidP="00E8263B">
      <w:pPr>
        <w:pStyle w:val="NoSpacing"/>
        <w:jc w:val="both"/>
        <w:rPr>
          <w:rFonts w:cstheme="minorHAnsi"/>
          <w:color w:val="000000" w:themeColor="text1"/>
        </w:rPr>
      </w:pPr>
    </w:p>
    <w:p w:rsidR="00E8263B" w:rsidRPr="00CB562F" w:rsidRDefault="00E8263B" w:rsidP="00E8263B">
      <w:pPr>
        <w:pStyle w:val="NoSpacing"/>
        <w:jc w:val="both"/>
        <w:rPr>
          <w:rFonts w:cstheme="minorHAnsi"/>
          <w:color w:val="000000" w:themeColor="text1"/>
        </w:rPr>
      </w:pPr>
      <w:r w:rsidRPr="00CB562F">
        <w:rPr>
          <w:rFonts w:cstheme="minorHAnsi"/>
          <w:color w:val="000000" w:themeColor="text1"/>
        </w:rPr>
        <w:t>The apparatus used to measure reaction time was ‘Research reaction time apparatus’ (Yantrashilp) manufactured by Anand agencies, Pune-2. It is a portable device with inbuilt fourdigit chronoscope with least count of 1/1000 sec i.e. 1 millisecond</w:t>
      </w:r>
      <w:r w:rsidRPr="00CB562F">
        <w:rPr>
          <w:rFonts w:cstheme="minorHAnsi"/>
          <w:color w:val="000000" w:themeColor="text1"/>
          <w:vertAlign w:val="superscript"/>
        </w:rPr>
        <w:t>10</w:t>
      </w:r>
      <w:r w:rsidRPr="00CB562F">
        <w:rPr>
          <w:rFonts w:cstheme="minorHAnsi"/>
          <w:color w:val="000000" w:themeColor="text1"/>
        </w:rPr>
        <w:t>.Green light stimuli and high frequency beep stimuli were selected for recording visual reaction time and auditory reaction time respectively.Once the subject got familiarized with the instrument, the final readings were taken.</w:t>
      </w:r>
    </w:p>
    <w:p w:rsidR="00E8263B" w:rsidRPr="00CB562F" w:rsidRDefault="00E8263B" w:rsidP="00E8263B">
      <w:pPr>
        <w:pStyle w:val="NoSpacing"/>
        <w:jc w:val="both"/>
        <w:rPr>
          <w:rFonts w:cstheme="minorHAnsi"/>
          <w:color w:val="000000" w:themeColor="text1"/>
        </w:rPr>
      </w:pPr>
      <w:r w:rsidRPr="00CB562F">
        <w:rPr>
          <w:rFonts w:cstheme="minorHAnsi"/>
          <w:color w:val="000000" w:themeColor="text1"/>
        </w:rPr>
        <w:t>For auditory reaction time three readings of the high frequency beep stimuli were recorded.For visual reaction time three readings of the green light stimulus were recorded in milliseconds from autodisplay</w:t>
      </w:r>
      <w:r w:rsidRPr="00CB562F">
        <w:rPr>
          <w:rFonts w:cstheme="minorHAnsi"/>
          <w:color w:val="000000" w:themeColor="text1"/>
          <w:vertAlign w:val="superscript"/>
        </w:rPr>
        <w:t>11</w:t>
      </w:r>
      <w:r w:rsidRPr="00CB562F">
        <w:rPr>
          <w:rFonts w:cstheme="minorHAnsi"/>
          <w:color w:val="000000" w:themeColor="text1"/>
        </w:rPr>
        <w:t xml:space="preserve">.The average of three readings was taken. While performing the test, all the subjects were made to sit comfortably in a chair. All the readings were taken between 9 to 10 am in the morning in a quite room. </w:t>
      </w:r>
    </w:p>
    <w:p w:rsidR="00E8263B" w:rsidRPr="00CB562F" w:rsidRDefault="00E8263B" w:rsidP="00E8263B">
      <w:pPr>
        <w:pStyle w:val="NoSpacing"/>
        <w:jc w:val="both"/>
        <w:rPr>
          <w:rFonts w:cstheme="minorHAnsi"/>
          <w:color w:val="000000" w:themeColor="text1"/>
        </w:rPr>
      </w:pPr>
      <w:r w:rsidRPr="00CB562F">
        <w:rPr>
          <w:rFonts w:cstheme="minorHAnsi"/>
          <w:color w:val="000000" w:themeColor="text1"/>
        </w:rPr>
        <w:t>As soon as the stimulus was perceived by the subject, she was asked to respond by pressing the response switch by index finger of the dominant hand. For each subject the lowest reading was taken as the value for the reaction time task.</w:t>
      </w:r>
    </w:p>
    <w:p w:rsidR="00E8263B" w:rsidRPr="00CB562F" w:rsidRDefault="00E8263B" w:rsidP="00E8263B">
      <w:pPr>
        <w:pStyle w:val="NoSpacing"/>
        <w:jc w:val="both"/>
        <w:rPr>
          <w:rFonts w:cstheme="minorHAnsi"/>
          <w:color w:val="000000" w:themeColor="text1"/>
        </w:rPr>
      </w:pPr>
    </w:p>
    <w:p w:rsidR="00E8263B" w:rsidRPr="00CB562F" w:rsidRDefault="00E8263B" w:rsidP="00E8263B">
      <w:pPr>
        <w:pStyle w:val="NoSpacing"/>
        <w:jc w:val="both"/>
        <w:rPr>
          <w:rFonts w:cstheme="minorHAnsi"/>
          <w:color w:val="000000" w:themeColor="text1"/>
        </w:rPr>
      </w:pPr>
      <w:r w:rsidRPr="00CB562F">
        <w:rPr>
          <w:rFonts w:cstheme="minorHAnsi"/>
          <w:color w:val="000000" w:themeColor="text1"/>
        </w:rPr>
        <w:t>Statistical analysis: - Student’s t test was applied for the statistical analysis. Correlation between haemoglobin and reaction time was done using Pearson’s correlation.</w:t>
      </w:r>
    </w:p>
    <w:p w:rsidR="00E8263B" w:rsidRPr="00CB562F" w:rsidRDefault="00E8263B" w:rsidP="00E8263B">
      <w:pPr>
        <w:pStyle w:val="NoSpacing"/>
        <w:jc w:val="both"/>
        <w:rPr>
          <w:rFonts w:cstheme="minorHAnsi"/>
          <w:color w:val="000000" w:themeColor="text1"/>
          <w:vertAlign w:val="superscript"/>
        </w:rPr>
      </w:pPr>
    </w:p>
    <w:p w:rsidR="00E8263B" w:rsidRPr="00CB562F" w:rsidRDefault="00E8263B" w:rsidP="00E8263B">
      <w:pPr>
        <w:pStyle w:val="NoSpacing"/>
        <w:jc w:val="both"/>
        <w:rPr>
          <w:rFonts w:cstheme="minorHAnsi"/>
          <w:color w:val="000000" w:themeColor="text1"/>
          <w:vertAlign w:val="superscript"/>
        </w:rPr>
      </w:pPr>
    </w:p>
    <w:p w:rsidR="00E8263B" w:rsidRPr="00CB562F" w:rsidRDefault="00E8263B" w:rsidP="00E8263B">
      <w:pPr>
        <w:pStyle w:val="NoSpacing"/>
        <w:jc w:val="both"/>
        <w:rPr>
          <w:rFonts w:cstheme="minorHAnsi"/>
          <w:color w:val="000000" w:themeColor="text1"/>
        </w:rPr>
      </w:pPr>
      <w:r w:rsidRPr="00CB562F">
        <w:rPr>
          <w:rFonts w:cstheme="minorHAnsi"/>
          <w:b/>
          <w:color w:val="000000" w:themeColor="text1"/>
        </w:rPr>
        <w:t xml:space="preserve">Result: </w:t>
      </w:r>
      <w:r w:rsidRPr="00CB562F">
        <w:rPr>
          <w:rFonts w:cstheme="minorHAnsi"/>
          <w:color w:val="000000" w:themeColor="text1"/>
        </w:rPr>
        <w:t>There was no statistically significant difference in the anthropometric parameters between group I  and group II. Hence they were comparable for the study (Table I).</w:t>
      </w:r>
    </w:p>
    <w:p w:rsidR="00E8263B" w:rsidRPr="00CB562F" w:rsidRDefault="00E8263B" w:rsidP="00E8263B">
      <w:pPr>
        <w:pStyle w:val="NoSpacing"/>
        <w:jc w:val="both"/>
        <w:rPr>
          <w:rFonts w:cstheme="minorHAnsi"/>
          <w:color w:val="000000" w:themeColor="text1"/>
        </w:rPr>
      </w:pPr>
    </w:p>
    <w:p w:rsidR="00E8263B" w:rsidRPr="00CB562F" w:rsidRDefault="00E8263B" w:rsidP="00E8263B">
      <w:pPr>
        <w:pStyle w:val="NoSpacing"/>
        <w:jc w:val="both"/>
        <w:rPr>
          <w:rFonts w:cstheme="minorHAnsi"/>
          <w:b/>
          <w:bCs/>
          <w:color w:val="000000" w:themeColor="text1"/>
        </w:rPr>
      </w:pPr>
      <w:r w:rsidRPr="00CB562F">
        <w:rPr>
          <w:rFonts w:cstheme="minorHAnsi"/>
          <w:b/>
          <w:bCs/>
          <w:color w:val="000000" w:themeColor="text1"/>
        </w:rPr>
        <w:t>Table I. Table showing anthropometric parameters Groupwise.</w:t>
      </w:r>
    </w:p>
    <w:tbl>
      <w:tblPr>
        <w:tblStyle w:val="TableGrid"/>
        <w:tblW w:w="0" w:type="auto"/>
        <w:tblLook w:val="04A0"/>
      </w:tblPr>
      <w:tblGrid>
        <w:gridCol w:w="1569"/>
        <w:gridCol w:w="1544"/>
        <w:gridCol w:w="1544"/>
      </w:tblGrid>
      <w:tr w:rsidR="00E8263B" w:rsidRPr="00CB562F" w:rsidTr="004F39E6">
        <w:tc>
          <w:tcPr>
            <w:tcW w:w="3192"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lastRenderedPageBreak/>
              <w:t>Parameters</w:t>
            </w:r>
          </w:p>
        </w:tc>
        <w:tc>
          <w:tcPr>
            <w:tcW w:w="3192"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GroupI (Hb≥12)</w:t>
            </w:r>
          </w:p>
        </w:tc>
        <w:tc>
          <w:tcPr>
            <w:tcW w:w="3192"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Group II ( Hb&lt;12)</w:t>
            </w:r>
          </w:p>
        </w:tc>
      </w:tr>
      <w:tr w:rsidR="00E8263B" w:rsidRPr="00CB562F" w:rsidTr="004F39E6">
        <w:tc>
          <w:tcPr>
            <w:tcW w:w="3192" w:type="dxa"/>
          </w:tcPr>
          <w:p w:rsidR="00E8263B" w:rsidRPr="00CB562F" w:rsidRDefault="00E8263B" w:rsidP="004F39E6">
            <w:pPr>
              <w:pStyle w:val="NoSpacing"/>
              <w:jc w:val="both"/>
              <w:rPr>
                <w:rFonts w:cstheme="minorHAnsi"/>
                <w:color w:val="000000" w:themeColor="text1"/>
              </w:rPr>
            </w:pPr>
          </w:p>
        </w:tc>
        <w:tc>
          <w:tcPr>
            <w:tcW w:w="3192" w:type="dxa"/>
          </w:tcPr>
          <w:p w:rsidR="00E8263B" w:rsidRPr="00CB562F" w:rsidRDefault="00E8263B" w:rsidP="004F39E6">
            <w:pPr>
              <w:pStyle w:val="NoSpacing"/>
              <w:jc w:val="both"/>
              <w:rPr>
                <w:rFonts w:cstheme="minorHAnsi"/>
                <w:color w:val="000000" w:themeColor="text1"/>
              </w:rPr>
            </w:pPr>
          </w:p>
        </w:tc>
        <w:tc>
          <w:tcPr>
            <w:tcW w:w="3192" w:type="dxa"/>
          </w:tcPr>
          <w:p w:rsidR="00E8263B" w:rsidRPr="00CB562F" w:rsidRDefault="00E8263B" w:rsidP="004F39E6">
            <w:pPr>
              <w:pStyle w:val="NoSpacing"/>
              <w:jc w:val="both"/>
              <w:rPr>
                <w:rFonts w:cstheme="minorHAnsi"/>
                <w:color w:val="000000" w:themeColor="text1"/>
              </w:rPr>
            </w:pPr>
          </w:p>
        </w:tc>
      </w:tr>
      <w:tr w:rsidR="00E8263B" w:rsidRPr="00CB562F" w:rsidTr="004F39E6">
        <w:tc>
          <w:tcPr>
            <w:tcW w:w="3192"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Age</w:t>
            </w:r>
          </w:p>
        </w:tc>
        <w:tc>
          <w:tcPr>
            <w:tcW w:w="3192"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18.25±0.51</w:t>
            </w:r>
          </w:p>
        </w:tc>
        <w:tc>
          <w:tcPr>
            <w:tcW w:w="3192"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18±0.51</w:t>
            </w:r>
          </w:p>
        </w:tc>
      </w:tr>
      <w:tr w:rsidR="00E8263B" w:rsidRPr="00CB562F" w:rsidTr="004F39E6">
        <w:tc>
          <w:tcPr>
            <w:tcW w:w="3192"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Weight</w:t>
            </w:r>
          </w:p>
        </w:tc>
        <w:tc>
          <w:tcPr>
            <w:tcW w:w="3192"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52.75±7.54</w:t>
            </w:r>
          </w:p>
        </w:tc>
        <w:tc>
          <w:tcPr>
            <w:tcW w:w="3192"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51.5±5.36</w:t>
            </w:r>
          </w:p>
        </w:tc>
      </w:tr>
      <w:tr w:rsidR="00E8263B" w:rsidRPr="00CB562F" w:rsidTr="004F39E6">
        <w:tc>
          <w:tcPr>
            <w:tcW w:w="3192"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Height</w:t>
            </w:r>
          </w:p>
        </w:tc>
        <w:tc>
          <w:tcPr>
            <w:tcW w:w="3192"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1.6±0.065</w:t>
            </w:r>
          </w:p>
        </w:tc>
        <w:tc>
          <w:tcPr>
            <w:tcW w:w="3192"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1.57±0.118</w:t>
            </w:r>
          </w:p>
        </w:tc>
      </w:tr>
      <w:tr w:rsidR="00E8263B" w:rsidRPr="00CB562F" w:rsidTr="004F39E6">
        <w:tc>
          <w:tcPr>
            <w:tcW w:w="3192"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BMI</w:t>
            </w:r>
          </w:p>
        </w:tc>
        <w:tc>
          <w:tcPr>
            <w:tcW w:w="3192"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20.31±1.88</w:t>
            </w:r>
          </w:p>
        </w:tc>
        <w:tc>
          <w:tcPr>
            <w:tcW w:w="3192"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19.78±1.89</w:t>
            </w:r>
          </w:p>
        </w:tc>
      </w:tr>
    </w:tbl>
    <w:p w:rsidR="00E8263B" w:rsidRPr="00CB562F" w:rsidRDefault="00E8263B" w:rsidP="00E8263B">
      <w:pPr>
        <w:pStyle w:val="NoSpacing"/>
        <w:jc w:val="both"/>
        <w:rPr>
          <w:rFonts w:cstheme="minorHAnsi"/>
          <w:color w:val="000000" w:themeColor="text1"/>
        </w:rPr>
      </w:pPr>
      <w:r w:rsidRPr="00CB562F">
        <w:rPr>
          <w:rFonts w:cstheme="minorHAnsi"/>
          <w:color w:val="000000" w:themeColor="text1"/>
        </w:rPr>
        <w:t>The mean hemoglobin level was 12± 0.52g/dl in group I (Hb≥12) and was 10±0.68 g/dl in group II      (Hb&lt;12).Observation shows delayed auditory and visual reaction time in Group II (Table II).</w:t>
      </w:r>
    </w:p>
    <w:p w:rsidR="00E8263B" w:rsidRPr="00CB562F" w:rsidRDefault="00E8263B" w:rsidP="00E8263B">
      <w:pPr>
        <w:pStyle w:val="NoSpacing"/>
        <w:jc w:val="both"/>
        <w:rPr>
          <w:rFonts w:cstheme="minorHAnsi"/>
          <w:color w:val="000000" w:themeColor="text1"/>
        </w:rPr>
      </w:pPr>
    </w:p>
    <w:p w:rsidR="00E8263B" w:rsidRPr="00CB562F" w:rsidRDefault="00E8263B" w:rsidP="00E8263B">
      <w:pPr>
        <w:pStyle w:val="NoSpacing"/>
        <w:jc w:val="both"/>
        <w:rPr>
          <w:rFonts w:cstheme="minorHAnsi"/>
          <w:color w:val="000000" w:themeColor="text1"/>
        </w:rPr>
      </w:pPr>
      <w:r w:rsidRPr="00CB562F">
        <w:rPr>
          <w:rFonts w:cstheme="minorHAnsi"/>
          <w:b/>
          <w:bCs/>
          <w:color w:val="000000" w:themeColor="text1"/>
        </w:rPr>
        <w:t>Table II. Table showing Hemoglobin level, Auditory reaction time and Visual reaction time Groupwise</w:t>
      </w:r>
      <w:r w:rsidRPr="00CB562F">
        <w:rPr>
          <w:rFonts w:cstheme="minorHAnsi"/>
          <w:color w:val="000000" w:themeColor="text1"/>
        </w:rPr>
        <w:t>.</w:t>
      </w:r>
    </w:p>
    <w:tbl>
      <w:tblPr>
        <w:tblStyle w:val="TableGrid"/>
        <w:tblW w:w="0" w:type="auto"/>
        <w:tblLook w:val="04A0"/>
      </w:tblPr>
      <w:tblGrid>
        <w:gridCol w:w="1538"/>
        <w:gridCol w:w="1607"/>
        <w:gridCol w:w="1512"/>
      </w:tblGrid>
      <w:tr w:rsidR="00E8263B" w:rsidRPr="00CB562F" w:rsidTr="004F39E6">
        <w:tc>
          <w:tcPr>
            <w:tcW w:w="3192"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Parameters</w:t>
            </w:r>
          </w:p>
        </w:tc>
        <w:tc>
          <w:tcPr>
            <w:tcW w:w="3192"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Group I( Hb≥12 )</w:t>
            </w:r>
          </w:p>
        </w:tc>
        <w:tc>
          <w:tcPr>
            <w:tcW w:w="3192"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Group II (Hb&lt;12)</w:t>
            </w:r>
          </w:p>
        </w:tc>
      </w:tr>
      <w:tr w:rsidR="00E8263B" w:rsidRPr="00CB562F" w:rsidTr="004F39E6">
        <w:tc>
          <w:tcPr>
            <w:tcW w:w="3192" w:type="dxa"/>
          </w:tcPr>
          <w:p w:rsidR="00E8263B" w:rsidRPr="00CB562F" w:rsidRDefault="00E8263B" w:rsidP="004F39E6">
            <w:pPr>
              <w:pStyle w:val="NoSpacing"/>
              <w:jc w:val="both"/>
              <w:rPr>
                <w:rFonts w:cstheme="minorHAnsi"/>
                <w:color w:val="000000" w:themeColor="text1"/>
              </w:rPr>
            </w:pPr>
          </w:p>
        </w:tc>
        <w:tc>
          <w:tcPr>
            <w:tcW w:w="3192" w:type="dxa"/>
          </w:tcPr>
          <w:p w:rsidR="00E8263B" w:rsidRPr="00CB562F" w:rsidRDefault="00E8263B" w:rsidP="004F39E6">
            <w:pPr>
              <w:pStyle w:val="NoSpacing"/>
              <w:jc w:val="both"/>
              <w:rPr>
                <w:rFonts w:cstheme="minorHAnsi"/>
                <w:color w:val="000000" w:themeColor="text1"/>
              </w:rPr>
            </w:pPr>
          </w:p>
        </w:tc>
        <w:tc>
          <w:tcPr>
            <w:tcW w:w="3192" w:type="dxa"/>
          </w:tcPr>
          <w:p w:rsidR="00E8263B" w:rsidRPr="00CB562F" w:rsidRDefault="00E8263B" w:rsidP="004F39E6">
            <w:pPr>
              <w:pStyle w:val="NoSpacing"/>
              <w:jc w:val="both"/>
              <w:rPr>
                <w:rFonts w:cstheme="minorHAnsi"/>
                <w:color w:val="000000" w:themeColor="text1"/>
              </w:rPr>
            </w:pPr>
          </w:p>
        </w:tc>
      </w:tr>
      <w:tr w:rsidR="00E8263B" w:rsidRPr="00CB562F" w:rsidTr="004F39E6">
        <w:trPr>
          <w:trHeight w:val="323"/>
        </w:trPr>
        <w:tc>
          <w:tcPr>
            <w:tcW w:w="3192"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Hb (gm %)</w:t>
            </w:r>
          </w:p>
        </w:tc>
        <w:tc>
          <w:tcPr>
            <w:tcW w:w="3192"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12±0.52</w:t>
            </w:r>
          </w:p>
        </w:tc>
        <w:tc>
          <w:tcPr>
            <w:tcW w:w="3192"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10±0.68</w:t>
            </w:r>
          </w:p>
        </w:tc>
      </w:tr>
      <w:tr w:rsidR="00E8263B" w:rsidRPr="00CB562F" w:rsidTr="004F39E6">
        <w:tc>
          <w:tcPr>
            <w:tcW w:w="3192"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ART</w:t>
            </w:r>
          </w:p>
        </w:tc>
        <w:tc>
          <w:tcPr>
            <w:tcW w:w="3192"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204.5±4.80</w:t>
            </w:r>
          </w:p>
        </w:tc>
        <w:tc>
          <w:tcPr>
            <w:tcW w:w="3192"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226.5±4.58</w:t>
            </w:r>
          </w:p>
        </w:tc>
      </w:tr>
      <w:tr w:rsidR="00E8263B" w:rsidRPr="00CB562F" w:rsidTr="004F39E6">
        <w:tc>
          <w:tcPr>
            <w:tcW w:w="3192"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VRT</w:t>
            </w:r>
          </w:p>
        </w:tc>
        <w:tc>
          <w:tcPr>
            <w:tcW w:w="3192"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213.25±3.13</w:t>
            </w:r>
          </w:p>
        </w:tc>
        <w:tc>
          <w:tcPr>
            <w:tcW w:w="3192"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235.5±4.86</w:t>
            </w:r>
          </w:p>
        </w:tc>
      </w:tr>
    </w:tbl>
    <w:p w:rsidR="00E8263B" w:rsidRPr="00CB562F" w:rsidRDefault="00E8263B" w:rsidP="00E8263B">
      <w:pPr>
        <w:pStyle w:val="NoSpacing"/>
        <w:jc w:val="both"/>
        <w:rPr>
          <w:rFonts w:cstheme="minorHAnsi"/>
          <w:color w:val="000000" w:themeColor="text1"/>
        </w:rPr>
      </w:pPr>
      <w:r w:rsidRPr="00CB562F">
        <w:rPr>
          <w:rFonts w:cstheme="minorHAnsi"/>
          <w:color w:val="000000" w:themeColor="text1"/>
        </w:rPr>
        <w:t>A significant negative correlation of hemoglobin with both Auditory and Visual reaction time was seen. (Table III and IV).</w:t>
      </w:r>
    </w:p>
    <w:p w:rsidR="00E8263B" w:rsidRPr="00CB562F" w:rsidRDefault="00E8263B" w:rsidP="00E8263B">
      <w:pPr>
        <w:pStyle w:val="NoSpacing"/>
        <w:jc w:val="both"/>
        <w:rPr>
          <w:rFonts w:cstheme="minorHAnsi"/>
          <w:b/>
          <w:bCs/>
          <w:color w:val="000000" w:themeColor="text1"/>
        </w:rPr>
      </w:pPr>
    </w:p>
    <w:p w:rsidR="00E8263B" w:rsidRPr="00CB562F" w:rsidRDefault="00E8263B" w:rsidP="00E8263B">
      <w:pPr>
        <w:pStyle w:val="NoSpacing"/>
        <w:jc w:val="both"/>
        <w:rPr>
          <w:rFonts w:cstheme="minorHAnsi"/>
          <w:color w:val="000000" w:themeColor="text1"/>
        </w:rPr>
      </w:pPr>
      <w:r w:rsidRPr="00CB562F">
        <w:rPr>
          <w:rFonts w:cstheme="minorHAnsi"/>
          <w:b/>
          <w:bCs/>
          <w:color w:val="000000" w:themeColor="text1"/>
        </w:rPr>
        <w:t>Table III. Correlation of Hemoglobin with Auditory reaction time</w:t>
      </w:r>
      <w:r w:rsidRPr="00CB562F">
        <w:rPr>
          <w:rFonts w:cstheme="minorHAnsi"/>
          <w:color w:val="000000" w:themeColor="text1"/>
        </w:rPr>
        <w:t>.</w:t>
      </w:r>
    </w:p>
    <w:tbl>
      <w:tblPr>
        <w:tblStyle w:val="TableGrid"/>
        <w:tblW w:w="5058" w:type="dxa"/>
        <w:tblLook w:val="04A0"/>
      </w:tblPr>
      <w:tblGrid>
        <w:gridCol w:w="1368"/>
        <w:gridCol w:w="1743"/>
        <w:gridCol w:w="1947"/>
      </w:tblGrid>
      <w:tr w:rsidR="00E8263B" w:rsidRPr="00CB562F" w:rsidTr="004F39E6">
        <w:tc>
          <w:tcPr>
            <w:tcW w:w="1368"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Parameter</w:t>
            </w:r>
          </w:p>
        </w:tc>
        <w:tc>
          <w:tcPr>
            <w:tcW w:w="1743"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Group I ( Hb ≥12 )</w:t>
            </w:r>
          </w:p>
        </w:tc>
        <w:tc>
          <w:tcPr>
            <w:tcW w:w="1947"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Group II ( Hb&lt;12)</w:t>
            </w:r>
          </w:p>
        </w:tc>
      </w:tr>
      <w:tr w:rsidR="00E8263B" w:rsidRPr="00CB562F" w:rsidTr="004F39E6">
        <w:tc>
          <w:tcPr>
            <w:tcW w:w="1368" w:type="dxa"/>
          </w:tcPr>
          <w:p w:rsidR="00E8263B" w:rsidRPr="00CB562F" w:rsidRDefault="00E8263B" w:rsidP="004F39E6">
            <w:pPr>
              <w:pStyle w:val="NoSpacing"/>
              <w:jc w:val="both"/>
              <w:rPr>
                <w:rFonts w:cstheme="minorHAnsi"/>
                <w:color w:val="000000" w:themeColor="text1"/>
              </w:rPr>
            </w:pPr>
          </w:p>
        </w:tc>
        <w:tc>
          <w:tcPr>
            <w:tcW w:w="1743"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r value     p value</w:t>
            </w:r>
          </w:p>
        </w:tc>
        <w:tc>
          <w:tcPr>
            <w:tcW w:w="1947"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r value   p value</w:t>
            </w:r>
          </w:p>
        </w:tc>
      </w:tr>
      <w:tr w:rsidR="00E8263B" w:rsidRPr="00CB562F" w:rsidTr="004F39E6">
        <w:tc>
          <w:tcPr>
            <w:tcW w:w="1368"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Hemoglobin</w:t>
            </w:r>
          </w:p>
        </w:tc>
        <w:tc>
          <w:tcPr>
            <w:tcW w:w="1743"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-0.2469    0.1884</w:t>
            </w:r>
          </w:p>
        </w:tc>
        <w:tc>
          <w:tcPr>
            <w:tcW w:w="1947"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-0.3402*0.0659</w:t>
            </w:r>
          </w:p>
        </w:tc>
      </w:tr>
    </w:tbl>
    <w:p w:rsidR="00E8263B" w:rsidRPr="00CB562F" w:rsidRDefault="00E8263B" w:rsidP="00E8263B">
      <w:pPr>
        <w:pStyle w:val="NoSpacing"/>
        <w:jc w:val="both"/>
        <w:rPr>
          <w:rFonts w:cstheme="minorHAnsi"/>
          <w:color w:val="000000" w:themeColor="text1"/>
        </w:rPr>
      </w:pPr>
      <w:r w:rsidRPr="00CB562F">
        <w:rPr>
          <w:rFonts w:cstheme="minorHAnsi"/>
          <w:color w:val="000000" w:themeColor="text1"/>
        </w:rPr>
        <w:t>*p&lt;0.05-significant.</w:t>
      </w:r>
    </w:p>
    <w:p w:rsidR="00E8263B" w:rsidRPr="00CB562F" w:rsidRDefault="00E8263B" w:rsidP="00E8263B">
      <w:pPr>
        <w:pStyle w:val="NoSpacing"/>
        <w:jc w:val="both"/>
        <w:rPr>
          <w:rFonts w:cstheme="minorHAnsi"/>
          <w:b/>
          <w:bCs/>
          <w:color w:val="000000" w:themeColor="text1"/>
        </w:rPr>
      </w:pPr>
    </w:p>
    <w:p w:rsidR="00E8263B" w:rsidRPr="00CB562F" w:rsidRDefault="00E8263B" w:rsidP="00E8263B">
      <w:pPr>
        <w:pStyle w:val="NoSpacing"/>
        <w:jc w:val="both"/>
        <w:rPr>
          <w:rFonts w:cstheme="minorHAnsi"/>
          <w:b/>
          <w:bCs/>
          <w:color w:val="000000" w:themeColor="text1"/>
        </w:rPr>
      </w:pPr>
      <w:r w:rsidRPr="00CB562F">
        <w:rPr>
          <w:rFonts w:cstheme="minorHAnsi"/>
          <w:b/>
          <w:bCs/>
          <w:color w:val="000000" w:themeColor="text1"/>
        </w:rPr>
        <w:t>Table IV.  Correlation of Hemoglobin with Visual reaction time.</w:t>
      </w:r>
    </w:p>
    <w:tbl>
      <w:tblPr>
        <w:tblStyle w:val="TableGrid"/>
        <w:tblW w:w="5238" w:type="dxa"/>
        <w:tblLook w:val="04A0"/>
      </w:tblPr>
      <w:tblGrid>
        <w:gridCol w:w="1548"/>
        <w:gridCol w:w="1800"/>
        <w:gridCol w:w="1890"/>
      </w:tblGrid>
      <w:tr w:rsidR="00E8263B" w:rsidRPr="00CB562F" w:rsidTr="004F39E6">
        <w:tc>
          <w:tcPr>
            <w:tcW w:w="1548"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parameter</w:t>
            </w:r>
          </w:p>
        </w:tc>
        <w:tc>
          <w:tcPr>
            <w:tcW w:w="1800"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 xml:space="preserve">Group I </w:t>
            </w:r>
          </w:p>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 Hb ≥12 )</w:t>
            </w:r>
          </w:p>
        </w:tc>
        <w:tc>
          <w:tcPr>
            <w:tcW w:w="1890"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 xml:space="preserve">Group II </w:t>
            </w:r>
          </w:p>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 Hb&lt;12)</w:t>
            </w:r>
          </w:p>
        </w:tc>
      </w:tr>
      <w:tr w:rsidR="00E8263B" w:rsidRPr="00CB562F" w:rsidTr="004F39E6">
        <w:tc>
          <w:tcPr>
            <w:tcW w:w="1548" w:type="dxa"/>
          </w:tcPr>
          <w:p w:rsidR="00E8263B" w:rsidRPr="00CB562F" w:rsidRDefault="00E8263B" w:rsidP="004F39E6">
            <w:pPr>
              <w:pStyle w:val="NoSpacing"/>
              <w:jc w:val="both"/>
              <w:rPr>
                <w:rFonts w:cstheme="minorHAnsi"/>
                <w:color w:val="000000" w:themeColor="text1"/>
              </w:rPr>
            </w:pPr>
          </w:p>
        </w:tc>
        <w:tc>
          <w:tcPr>
            <w:tcW w:w="1800"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r value      pvalue</w:t>
            </w:r>
          </w:p>
        </w:tc>
        <w:tc>
          <w:tcPr>
            <w:tcW w:w="1890"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r value   p value</w:t>
            </w:r>
          </w:p>
        </w:tc>
      </w:tr>
      <w:tr w:rsidR="00E8263B" w:rsidRPr="00CB562F" w:rsidTr="004F39E6">
        <w:tc>
          <w:tcPr>
            <w:tcW w:w="1548"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Hemoglobin</w:t>
            </w:r>
          </w:p>
        </w:tc>
        <w:tc>
          <w:tcPr>
            <w:tcW w:w="1800"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-0.2719     0.1461</w:t>
            </w:r>
          </w:p>
        </w:tc>
        <w:tc>
          <w:tcPr>
            <w:tcW w:w="1890" w:type="dxa"/>
          </w:tcPr>
          <w:p w:rsidR="00E8263B" w:rsidRPr="00CB562F" w:rsidRDefault="00E8263B" w:rsidP="004F39E6">
            <w:pPr>
              <w:pStyle w:val="NoSpacing"/>
              <w:jc w:val="both"/>
              <w:rPr>
                <w:rFonts w:cstheme="minorHAnsi"/>
                <w:color w:val="000000" w:themeColor="text1"/>
              </w:rPr>
            </w:pPr>
            <w:r w:rsidRPr="00CB562F">
              <w:rPr>
                <w:rFonts w:cstheme="minorHAnsi"/>
                <w:color w:val="000000" w:themeColor="text1"/>
              </w:rPr>
              <w:t>-0.2350*    0.2113</w:t>
            </w:r>
          </w:p>
        </w:tc>
      </w:tr>
    </w:tbl>
    <w:p w:rsidR="00E8263B" w:rsidRPr="00CB562F" w:rsidRDefault="00E8263B" w:rsidP="00E8263B">
      <w:pPr>
        <w:pStyle w:val="NoSpacing"/>
        <w:jc w:val="both"/>
        <w:rPr>
          <w:rFonts w:cstheme="minorHAnsi"/>
          <w:color w:val="000000" w:themeColor="text1"/>
        </w:rPr>
      </w:pPr>
      <w:r w:rsidRPr="00CB562F">
        <w:rPr>
          <w:rFonts w:cstheme="minorHAnsi"/>
          <w:color w:val="000000" w:themeColor="text1"/>
        </w:rPr>
        <w:t>*p&lt;0.05- Significant.</w:t>
      </w:r>
    </w:p>
    <w:p w:rsidR="00E8263B" w:rsidRPr="00CB562F" w:rsidRDefault="00E8263B" w:rsidP="00E8263B">
      <w:pPr>
        <w:pStyle w:val="NoSpacing"/>
        <w:jc w:val="both"/>
        <w:rPr>
          <w:rFonts w:cstheme="minorHAnsi"/>
          <w:color w:val="000000" w:themeColor="text1"/>
        </w:rPr>
      </w:pPr>
      <w:r w:rsidRPr="00CB562F">
        <w:rPr>
          <w:rFonts w:cstheme="minorHAnsi"/>
          <w:b/>
          <w:color w:val="000000" w:themeColor="text1"/>
        </w:rPr>
        <w:t xml:space="preserve">Discussion: </w:t>
      </w:r>
      <w:r w:rsidRPr="00CB562F">
        <w:rPr>
          <w:rFonts w:cstheme="minorHAnsi"/>
          <w:color w:val="000000" w:themeColor="text1"/>
        </w:rPr>
        <w:t>The increase in reaction time indicates an impaired sensory-motor performance.  According to WHO, Anemia in women is defined as hemoglobin concentration less than 12. Lower concentration of hemoglobin results in a number of symptoms such as weakness and general fatigue and adverse effects on immune system</w:t>
      </w:r>
      <w:r w:rsidRPr="00CB562F">
        <w:rPr>
          <w:rFonts w:cstheme="minorHAnsi"/>
          <w:color w:val="000000" w:themeColor="text1"/>
          <w:vertAlign w:val="superscript"/>
        </w:rPr>
        <w:t>2</w:t>
      </w:r>
      <w:r w:rsidRPr="00CB562F">
        <w:rPr>
          <w:rFonts w:cstheme="minorHAnsi"/>
          <w:color w:val="000000" w:themeColor="text1"/>
        </w:rPr>
        <w:t xml:space="preserve">. Adolescence being formative years in life is more prone to major nutritional deficiency.Many factors contribute to anemia in girls –e.g. Low iron intake, poor iron absorption and high iron demands during </w:t>
      </w:r>
      <w:r w:rsidRPr="00CB562F">
        <w:rPr>
          <w:rFonts w:cstheme="minorHAnsi"/>
          <w:color w:val="000000" w:themeColor="text1"/>
        </w:rPr>
        <w:lastRenderedPageBreak/>
        <w:t>menstruation and growth spurts. And the results are higher risk of anemia during adolescence.</w:t>
      </w:r>
    </w:p>
    <w:p w:rsidR="00E8263B" w:rsidRPr="00CB562F" w:rsidRDefault="00E8263B" w:rsidP="00E8263B">
      <w:pPr>
        <w:pStyle w:val="NoSpacing"/>
        <w:jc w:val="both"/>
        <w:rPr>
          <w:rFonts w:cstheme="minorHAnsi"/>
          <w:color w:val="000000" w:themeColor="text1"/>
        </w:rPr>
      </w:pPr>
    </w:p>
    <w:p w:rsidR="00E8263B" w:rsidRPr="00CB562F" w:rsidRDefault="00E8263B" w:rsidP="00E8263B">
      <w:pPr>
        <w:pStyle w:val="NoSpacing"/>
        <w:jc w:val="both"/>
        <w:rPr>
          <w:rFonts w:cstheme="minorHAnsi"/>
          <w:color w:val="000000" w:themeColor="text1"/>
        </w:rPr>
      </w:pPr>
      <w:r w:rsidRPr="00CB562F">
        <w:rPr>
          <w:rFonts w:cstheme="minorHAnsi"/>
          <w:color w:val="000000" w:themeColor="text1"/>
        </w:rPr>
        <w:t>Longitudinal studies show that iron deficiency in infancy is related to poorer cognition in childhood</w:t>
      </w:r>
      <w:r w:rsidRPr="00CB562F">
        <w:rPr>
          <w:rFonts w:cstheme="minorHAnsi"/>
          <w:color w:val="000000" w:themeColor="text1"/>
          <w:vertAlign w:val="superscript"/>
        </w:rPr>
        <w:t>12</w:t>
      </w:r>
      <w:r w:rsidRPr="00CB562F">
        <w:rPr>
          <w:rFonts w:cstheme="minorHAnsi"/>
          <w:color w:val="000000" w:themeColor="text1"/>
        </w:rPr>
        <w:t>. A more recent systematic review of iron supplementation in infants and children aged under 5 years finding that supplementation led to improvements in cognition and motor development in anemic and iron deficient children</w:t>
      </w:r>
      <w:r w:rsidRPr="00CB562F">
        <w:rPr>
          <w:rFonts w:cstheme="minorHAnsi"/>
          <w:color w:val="000000" w:themeColor="text1"/>
          <w:vertAlign w:val="superscript"/>
        </w:rPr>
        <w:t>13</w:t>
      </w:r>
      <w:r w:rsidRPr="00CB562F">
        <w:rPr>
          <w:rFonts w:cstheme="minorHAnsi"/>
          <w:color w:val="000000" w:themeColor="text1"/>
        </w:rPr>
        <w:t xml:space="preserve">.  </w:t>
      </w:r>
    </w:p>
    <w:p w:rsidR="00E8263B" w:rsidRPr="00CB562F" w:rsidRDefault="00E8263B" w:rsidP="00E8263B">
      <w:pPr>
        <w:pStyle w:val="NoSpacing"/>
        <w:jc w:val="both"/>
        <w:rPr>
          <w:rFonts w:cstheme="minorHAnsi"/>
          <w:color w:val="000000" w:themeColor="text1"/>
        </w:rPr>
      </w:pPr>
    </w:p>
    <w:p w:rsidR="00E8263B" w:rsidRPr="00CB562F" w:rsidRDefault="00E8263B" w:rsidP="00E8263B">
      <w:pPr>
        <w:pStyle w:val="NoSpacing"/>
        <w:jc w:val="both"/>
        <w:rPr>
          <w:rFonts w:cstheme="minorHAnsi"/>
          <w:color w:val="000000" w:themeColor="text1"/>
        </w:rPr>
      </w:pPr>
      <w:r w:rsidRPr="00CB562F">
        <w:rPr>
          <w:rFonts w:cstheme="minorHAnsi"/>
          <w:color w:val="000000" w:themeColor="text1"/>
        </w:rPr>
        <w:t>Rodent models show that iron deficiency during gestation/lactation alters neurometabolism, neurotransmitters, myelination in the developing brain. Human infants with iron deficiency anemia test lower in cognitive, motor, social, emotional and neurophysiologic development than comparison group infants. Poorer outcome has also been shown in human and monkey infants with neonatal iron deficiency. Iron deficiency is associated with hypomyelination of neurons, effects on the dopaminergic system and a deficiency of enzymes involve in the development of parts of the brain important for cognitive function such as memory</w:t>
      </w:r>
      <w:r w:rsidRPr="00CB562F">
        <w:rPr>
          <w:rFonts w:cstheme="minorHAnsi"/>
          <w:color w:val="000000" w:themeColor="text1"/>
          <w:vertAlign w:val="superscript"/>
        </w:rPr>
        <w:t>14</w:t>
      </w:r>
      <w:r w:rsidRPr="00CB562F">
        <w:rPr>
          <w:rFonts w:cstheme="minorHAnsi"/>
          <w:color w:val="000000" w:themeColor="text1"/>
        </w:rPr>
        <w:t xml:space="preserve">. </w:t>
      </w:r>
    </w:p>
    <w:p w:rsidR="00E8263B" w:rsidRPr="00CB562F" w:rsidRDefault="00E8263B" w:rsidP="00E8263B">
      <w:pPr>
        <w:pStyle w:val="NoSpacing"/>
        <w:jc w:val="both"/>
        <w:rPr>
          <w:rFonts w:cstheme="minorHAnsi"/>
          <w:color w:val="000000" w:themeColor="text1"/>
        </w:rPr>
      </w:pPr>
      <w:r w:rsidRPr="00CB562F">
        <w:rPr>
          <w:rFonts w:cstheme="minorHAnsi"/>
          <w:color w:val="000000" w:themeColor="text1"/>
        </w:rPr>
        <w:t>The present study is based on effect of haemoglobin on cognitive functions in adolescence.In this study, auditory reaction time and visual reaction time were found delayed due to iron deficiency anemia.</w:t>
      </w:r>
    </w:p>
    <w:p w:rsidR="00E8263B" w:rsidRPr="00CB562F" w:rsidRDefault="00E8263B" w:rsidP="00E8263B">
      <w:pPr>
        <w:pStyle w:val="NoSpacing"/>
        <w:jc w:val="both"/>
        <w:rPr>
          <w:rFonts w:cstheme="minorHAnsi"/>
          <w:color w:val="000000" w:themeColor="text1"/>
        </w:rPr>
      </w:pPr>
    </w:p>
    <w:p w:rsidR="00E8263B" w:rsidRPr="00CB562F" w:rsidRDefault="00E8263B" w:rsidP="00E8263B">
      <w:pPr>
        <w:pStyle w:val="NoSpacing"/>
        <w:jc w:val="both"/>
        <w:rPr>
          <w:rFonts w:cstheme="minorHAnsi"/>
          <w:color w:val="000000" w:themeColor="text1"/>
        </w:rPr>
      </w:pPr>
      <w:r w:rsidRPr="00CB562F">
        <w:rPr>
          <w:rFonts w:cstheme="minorHAnsi"/>
          <w:color w:val="000000" w:themeColor="text1"/>
        </w:rPr>
        <w:t>Some studies shows that iron supplementation improve attention and concentration in females. Lucca et al, suggested an independent association of anemia with attention performance in elderly persons</w:t>
      </w:r>
      <w:r w:rsidRPr="00CB562F">
        <w:rPr>
          <w:rFonts w:cstheme="minorHAnsi"/>
          <w:color w:val="000000" w:themeColor="text1"/>
          <w:vertAlign w:val="superscript"/>
        </w:rPr>
        <w:t>15</w:t>
      </w:r>
      <w:r w:rsidRPr="00CB562F">
        <w:rPr>
          <w:rFonts w:cstheme="minorHAnsi"/>
          <w:color w:val="000000" w:themeColor="text1"/>
        </w:rPr>
        <w:t>.</w:t>
      </w:r>
    </w:p>
    <w:p w:rsidR="00E8263B" w:rsidRPr="00CB562F" w:rsidRDefault="00E8263B" w:rsidP="00E8263B">
      <w:pPr>
        <w:pStyle w:val="NoSpacing"/>
        <w:jc w:val="both"/>
        <w:rPr>
          <w:rFonts w:cstheme="minorHAnsi"/>
          <w:color w:val="000000" w:themeColor="text1"/>
        </w:rPr>
      </w:pPr>
    </w:p>
    <w:p w:rsidR="00E8263B" w:rsidRPr="00CB562F" w:rsidRDefault="00E8263B" w:rsidP="00E8263B">
      <w:pPr>
        <w:pStyle w:val="NoSpacing"/>
        <w:jc w:val="both"/>
        <w:rPr>
          <w:rFonts w:cstheme="minorHAnsi"/>
          <w:color w:val="000000" w:themeColor="text1"/>
        </w:rPr>
      </w:pPr>
      <w:r w:rsidRPr="00CB562F">
        <w:rPr>
          <w:rFonts w:cstheme="minorHAnsi"/>
          <w:color w:val="000000" w:themeColor="text1"/>
        </w:rPr>
        <w:t>The central conduction time was found to be prolonged in 6 months old children with anemia compared with nonanemic children.The investigators speculated that the prolonged central conduction time was due to changes in myelination that have been reported in iron deficient animals.Thus in anemic children  central conduction time was found to be prolonged and longer latencies in visual evoked potentials</w:t>
      </w:r>
      <w:r w:rsidRPr="00CB562F">
        <w:rPr>
          <w:rFonts w:cstheme="minorHAnsi"/>
          <w:color w:val="000000" w:themeColor="text1"/>
          <w:vertAlign w:val="superscript"/>
        </w:rPr>
        <w:t>16</w:t>
      </w:r>
      <w:r w:rsidRPr="00CB562F">
        <w:rPr>
          <w:rFonts w:cstheme="minorHAnsi"/>
          <w:color w:val="000000" w:themeColor="text1"/>
        </w:rPr>
        <w:t>.</w:t>
      </w:r>
    </w:p>
    <w:p w:rsidR="00E8263B" w:rsidRPr="00CB562F" w:rsidRDefault="00E8263B" w:rsidP="00E8263B">
      <w:pPr>
        <w:pStyle w:val="NoSpacing"/>
        <w:jc w:val="both"/>
        <w:rPr>
          <w:rFonts w:cstheme="minorHAnsi"/>
          <w:color w:val="000000" w:themeColor="text1"/>
        </w:rPr>
      </w:pPr>
    </w:p>
    <w:p w:rsidR="00E8263B" w:rsidRPr="00CB562F" w:rsidRDefault="00E8263B" w:rsidP="00E8263B">
      <w:pPr>
        <w:pStyle w:val="NoSpacing"/>
        <w:jc w:val="both"/>
        <w:rPr>
          <w:rFonts w:cstheme="minorHAnsi"/>
          <w:color w:val="000000" w:themeColor="text1"/>
        </w:rPr>
      </w:pPr>
      <w:r w:rsidRPr="00CB562F">
        <w:rPr>
          <w:rFonts w:cstheme="minorHAnsi"/>
          <w:color w:val="000000" w:themeColor="text1"/>
        </w:rPr>
        <w:t>School aged children who had chronic iron deficiency anemia during infancy but were treated with iron performed more poorly on tests of attention (specifically selective attention) than their nonanemic peers 10years later</w:t>
      </w:r>
      <w:r w:rsidRPr="00CB562F">
        <w:rPr>
          <w:rFonts w:cstheme="minorHAnsi"/>
          <w:color w:val="000000" w:themeColor="text1"/>
          <w:vertAlign w:val="superscript"/>
        </w:rPr>
        <w:t>16</w:t>
      </w:r>
      <w:r w:rsidRPr="00CB562F">
        <w:rPr>
          <w:rFonts w:cstheme="minorHAnsi"/>
          <w:color w:val="000000" w:themeColor="text1"/>
        </w:rPr>
        <w:t xml:space="preserve">.Information processing tasks includes </w:t>
      </w:r>
      <w:r w:rsidRPr="00CB562F">
        <w:rPr>
          <w:rFonts w:cstheme="minorHAnsi"/>
          <w:color w:val="000000" w:themeColor="text1"/>
        </w:rPr>
        <w:lastRenderedPageBreak/>
        <w:t>speed and discrimination. The ability to discriminate may be sensitive to anemia</w:t>
      </w:r>
      <w:r w:rsidRPr="00CB562F">
        <w:rPr>
          <w:rFonts w:cstheme="minorHAnsi"/>
          <w:color w:val="000000" w:themeColor="text1"/>
          <w:vertAlign w:val="superscript"/>
        </w:rPr>
        <w:t>16</w:t>
      </w:r>
      <w:r w:rsidRPr="00CB562F">
        <w:rPr>
          <w:rFonts w:cstheme="minorHAnsi"/>
          <w:color w:val="000000" w:themeColor="text1"/>
        </w:rPr>
        <w:t>. Anemia can lead to altered cognition.Changes due to anemia is reflected in structural and functional changes in central nervous system that manifest as altered cognition.</w:t>
      </w:r>
    </w:p>
    <w:p w:rsidR="00E8263B" w:rsidRPr="00CB562F" w:rsidRDefault="00E8263B" w:rsidP="00E8263B">
      <w:pPr>
        <w:pStyle w:val="NoSpacing"/>
        <w:jc w:val="both"/>
        <w:rPr>
          <w:rFonts w:cstheme="minorHAnsi"/>
          <w:color w:val="000000" w:themeColor="text1"/>
        </w:rPr>
      </w:pPr>
      <w:r w:rsidRPr="00CB562F">
        <w:rPr>
          <w:rFonts w:cstheme="minorHAnsi"/>
          <w:color w:val="000000" w:themeColor="text1"/>
        </w:rPr>
        <w:t>Two frequently discussed mechanisms are effects on the dopaminergic system and effects on myelination</w:t>
      </w:r>
      <w:r w:rsidRPr="00CB562F">
        <w:rPr>
          <w:rFonts w:cstheme="minorHAnsi"/>
          <w:color w:val="000000" w:themeColor="text1"/>
          <w:vertAlign w:val="superscript"/>
        </w:rPr>
        <w:t xml:space="preserve">12 </w:t>
      </w:r>
      <w:r w:rsidRPr="00CB562F">
        <w:rPr>
          <w:rFonts w:cstheme="minorHAnsi"/>
          <w:color w:val="000000" w:themeColor="text1"/>
        </w:rPr>
        <w:t>. Role of iron in neuronal functioning noted that the dopaminergic system is sensitive to iron status</w:t>
      </w:r>
      <w:r w:rsidRPr="00CB562F">
        <w:rPr>
          <w:rFonts w:cstheme="minorHAnsi"/>
          <w:color w:val="000000" w:themeColor="text1"/>
          <w:vertAlign w:val="superscript"/>
        </w:rPr>
        <w:t xml:space="preserve">17 </w:t>
      </w:r>
      <w:r w:rsidRPr="00CB562F">
        <w:rPr>
          <w:rFonts w:cstheme="minorHAnsi"/>
          <w:color w:val="000000" w:themeColor="text1"/>
        </w:rPr>
        <w:t>. Process of attention to environmental information is dependent on rates of dopamine clearance from the interstitial space and that this suggests that iron status may affect behavior through dopamine metabolism</w:t>
      </w:r>
      <w:r w:rsidRPr="00CB562F">
        <w:rPr>
          <w:rFonts w:cstheme="minorHAnsi"/>
          <w:color w:val="000000" w:themeColor="text1"/>
          <w:vertAlign w:val="superscript"/>
        </w:rPr>
        <w:t xml:space="preserve">11 </w:t>
      </w:r>
      <w:r w:rsidRPr="00CB562F">
        <w:rPr>
          <w:rFonts w:cstheme="minorHAnsi"/>
          <w:color w:val="000000" w:themeColor="text1"/>
        </w:rPr>
        <w:t>.</w:t>
      </w:r>
    </w:p>
    <w:p w:rsidR="00E8263B" w:rsidRPr="00CB562F" w:rsidRDefault="00E8263B" w:rsidP="00E8263B">
      <w:pPr>
        <w:pStyle w:val="NoSpacing"/>
        <w:jc w:val="both"/>
        <w:rPr>
          <w:rFonts w:cstheme="minorHAnsi"/>
          <w:color w:val="000000" w:themeColor="text1"/>
        </w:rPr>
      </w:pPr>
    </w:p>
    <w:p w:rsidR="00E8263B" w:rsidRPr="00CB562F" w:rsidRDefault="00E8263B" w:rsidP="00E8263B">
      <w:pPr>
        <w:pStyle w:val="NoSpacing"/>
        <w:jc w:val="both"/>
        <w:rPr>
          <w:rFonts w:cstheme="minorHAnsi"/>
          <w:color w:val="000000" w:themeColor="text1"/>
        </w:rPr>
      </w:pPr>
      <w:r w:rsidRPr="00CB562F">
        <w:rPr>
          <w:rFonts w:cstheme="minorHAnsi"/>
          <w:color w:val="000000" w:themeColor="text1"/>
        </w:rPr>
        <w:t>There are positive association between hemoglobin levels; somatic iron levels and performance in tests of cognitive function</w:t>
      </w:r>
      <w:r w:rsidRPr="00CB562F">
        <w:rPr>
          <w:rFonts w:cstheme="minorHAnsi"/>
          <w:color w:val="000000" w:themeColor="text1"/>
          <w:vertAlign w:val="superscript"/>
        </w:rPr>
        <w:t>18</w:t>
      </w:r>
      <w:r w:rsidRPr="00CB562F">
        <w:rPr>
          <w:rFonts w:cstheme="minorHAnsi"/>
          <w:color w:val="000000" w:themeColor="text1"/>
        </w:rPr>
        <w:t xml:space="preserve">.Children who were anemic in early childhood continue to have poor cognitive, motor development and school achievement into middle childhood. There are many studies about effects of haemoglobin in infants and elderly. But very few studies about the effects of haemoglobin in adolescent and young age group.Present study is a baseline study, with small sample done on small scale.It needs to be evaluated on a larger scale. </w:t>
      </w:r>
    </w:p>
    <w:p w:rsidR="00E8263B" w:rsidRPr="00CB562F" w:rsidRDefault="00E8263B" w:rsidP="00E8263B">
      <w:pPr>
        <w:pStyle w:val="NoSpacing"/>
        <w:jc w:val="both"/>
        <w:rPr>
          <w:rFonts w:cstheme="minorHAnsi"/>
          <w:b/>
          <w:color w:val="000000" w:themeColor="text1"/>
        </w:rPr>
      </w:pPr>
    </w:p>
    <w:p w:rsidR="00E8263B" w:rsidRPr="00CB562F" w:rsidRDefault="00E8263B" w:rsidP="00E8263B">
      <w:pPr>
        <w:pStyle w:val="NoSpacing"/>
        <w:jc w:val="both"/>
        <w:rPr>
          <w:rFonts w:cstheme="minorHAnsi"/>
          <w:color w:val="000000" w:themeColor="text1"/>
        </w:rPr>
      </w:pPr>
      <w:r w:rsidRPr="00CB562F">
        <w:rPr>
          <w:rFonts w:cstheme="minorHAnsi"/>
          <w:b/>
          <w:color w:val="000000" w:themeColor="text1"/>
        </w:rPr>
        <w:t xml:space="preserve">Conclusion: </w:t>
      </w:r>
      <w:r w:rsidRPr="00CB562F">
        <w:rPr>
          <w:rFonts w:cstheme="minorHAnsi"/>
          <w:color w:val="000000" w:themeColor="text1"/>
        </w:rPr>
        <w:t>With this study we conclude that low neuronal metabolic activity, decreased nerve conduction velocity, alteration of neurotransmission systems, altered cognition, and hypomyelination of neurons might be responsible for prolongation in auditory and visual reaction time in anemic individuals. These mechanisms might act synergistically to induce altered function.</w:t>
      </w:r>
    </w:p>
    <w:p w:rsidR="00E8263B" w:rsidRPr="00CB562F" w:rsidRDefault="00E8263B" w:rsidP="00E8263B">
      <w:pPr>
        <w:pStyle w:val="NoSpacing"/>
        <w:jc w:val="both"/>
        <w:rPr>
          <w:rFonts w:cstheme="minorHAnsi"/>
          <w:color w:val="000000" w:themeColor="text1"/>
        </w:rPr>
      </w:pPr>
    </w:p>
    <w:p w:rsidR="00E8263B" w:rsidRPr="00CB562F" w:rsidRDefault="00E8263B" w:rsidP="00E8263B">
      <w:pPr>
        <w:pStyle w:val="NoSpacing"/>
        <w:jc w:val="both"/>
        <w:rPr>
          <w:rFonts w:cstheme="minorHAnsi"/>
          <w:b/>
          <w:color w:val="000000" w:themeColor="text1"/>
        </w:rPr>
      </w:pPr>
      <w:r w:rsidRPr="00CB562F">
        <w:rPr>
          <w:rFonts w:cstheme="minorHAnsi"/>
          <w:b/>
          <w:color w:val="000000" w:themeColor="text1"/>
        </w:rPr>
        <w:t>References:</w:t>
      </w:r>
    </w:p>
    <w:p w:rsidR="00E8263B" w:rsidRPr="00CB562F" w:rsidRDefault="00E8263B" w:rsidP="00E8263B">
      <w:pPr>
        <w:pStyle w:val="NoSpacing"/>
        <w:numPr>
          <w:ilvl w:val="0"/>
          <w:numId w:val="26"/>
        </w:numPr>
        <w:tabs>
          <w:tab w:val="left" w:pos="270"/>
        </w:tabs>
        <w:jc w:val="both"/>
        <w:rPr>
          <w:rFonts w:cstheme="minorHAnsi"/>
          <w:color w:val="000000" w:themeColor="text1"/>
        </w:rPr>
      </w:pPr>
      <w:r w:rsidRPr="00CB562F">
        <w:rPr>
          <w:rFonts w:cstheme="minorHAnsi"/>
          <w:color w:val="000000" w:themeColor="text1"/>
        </w:rPr>
        <w:t>Stoltzfus RJ, Mullany L, Black RE, Iron deficiency anemia.In: Ezzati M, Lopez AD, Rogers A, Murray CJL, eda.Comparative qualification of Health Risks: Global and regional burden of disease attribution to selected major risk factors.vol I. Geneva: World Health Organization.  2004; 163-209.</w:t>
      </w:r>
    </w:p>
    <w:p w:rsidR="00E8263B" w:rsidRPr="00CB562F" w:rsidRDefault="00E8263B" w:rsidP="00E8263B">
      <w:pPr>
        <w:pStyle w:val="NoSpacing"/>
        <w:numPr>
          <w:ilvl w:val="0"/>
          <w:numId w:val="26"/>
        </w:numPr>
        <w:jc w:val="both"/>
        <w:rPr>
          <w:rFonts w:cstheme="minorHAnsi"/>
          <w:color w:val="000000" w:themeColor="text1"/>
        </w:rPr>
      </w:pPr>
      <w:r w:rsidRPr="00CB562F">
        <w:rPr>
          <w:rFonts w:cstheme="minorHAnsi"/>
          <w:color w:val="000000" w:themeColor="text1"/>
        </w:rPr>
        <w:t>Agarwal KN, Gomber S.Anemia prophylaxis in adolescent school girls by weekly or daily iron folate supplementation. Indian Pediatrics, 2003; 40:296-301.</w:t>
      </w:r>
    </w:p>
    <w:p w:rsidR="00E8263B" w:rsidRPr="00CB562F" w:rsidRDefault="00E8263B" w:rsidP="00E8263B">
      <w:pPr>
        <w:pStyle w:val="NoSpacing"/>
        <w:numPr>
          <w:ilvl w:val="0"/>
          <w:numId w:val="26"/>
        </w:numPr>
        <w:jc w:val="both"/>
        <w:rPr>
          <w:rFonts w:cstheme="minorHAnsi"/>
          <w:color w:val="000000" w:themeColor="text1"/>
        </w:rPr>
      </w:pPr>
      <w:r w:rsidRPr="00CB562F">
        <w:rPr>
          <w:rFonts w:cstheme="minorHAnsi"/>
          <w:color w:val="000000" w:themeColor="text1"/>
        </w:rPr>
        <w:lastRenderedPageBreak/>
        <w:t>Falkingham et al: The effects of oral iron supplementation on cognition in older children and adults: a systematic review and meta-analysis.Nutrition Journal 2010; 9:4.</w:t>
      </w:r>
    </w:p>
    <w:p w:rsidR="00E8263B" w:rsidRPr="00CB562F" w:rsidRDefault="00E8263B" w:rsidP="00E8263B">
      <w:pPr>
        <w:pStyle w:val="NoSpacing"/>
        <w:numPr>
          <w:ilvl w:val="0"/>
          <w:numId w:val="26"/>
        </w:numPr>
        <w:jc w:val="both"/>
        <w:rPr>
          <w:rFonts w:cstheme="minorHAnsi"/>
          <w:color w:val="000000" w:themeColor="text1"/>
        </w:rPr>
      </w:pPr>
      <w:r w:rsidRPr="00CB562F">
        <w:rPr>
          <w:rFonts w:cstheme="minorHAnsi"/>
          <w:color w:val="000000" w:themeColor="text1"/>
        </w:rPr>
        <w:t>Asmita SN, Pushpa AP.A study of auditory reaction time in different phases of normal menstrual cycle.IJPP 2010, 54; 386-390.</w:t>
      </w:r>
    </w:p>
    <w:p w:rsidR="00E8263B" w:rsidRPr="00CB562F" w:rsidRDefault="00E8263B" w:rsidP="00E8263B">
      <w:pPr>
        <w:pStyle w:val="NoSpacing"/>
        <w:numPr>
          <w:ilvl w:val="0"/>
          <w:numId w:val="26"/>
        </w:numPr>
        <w:jc w:val="both"/>
        <w:rPr>
          <w:rFonts w:cstheme="minorHAnsi"/>
          <w:color w:val="000000" w:themeColor="text1"/>
        </w:rPr>
      </w:pPr>
      <w:r w:rsidRPr="00CB562F">
        <w:rPr>
          <w:rFonts w:cstheme="minorHAnsi"/>
          <w:color w:val="000000" w:themeColor="text1"/>
        </w:rPr>
        <w:t>Beard JL. Why iron deficiency is important in infant development. J Nutr, 2008 December: 138 (12), 2534-2536.</w:t>
      </w:r>
    </w:p>
    <w:p w:rsidR="00E8263B" w:rsidRPr="00CB562F" w:rsidRDefault="00E8263B" w:rsidP="00E8263B">
      <w:pPr>
        <w:pStyle w:val="NoSpacing"/>
        <w:numPr>
          <w:ilvl w:val="0"/>
          <w:numId w:val="26"/>
        </w:numPr>
        <w:jc w:val="both"/>
        <w:rPr>
          <w:rFonts w:cstheme="minorHAnsi"/>
          <w:color w:val="000000" w:themeColor="text1"/>
        </w:rPr>
      </w:pPr>
      <w:r w:rsidRPr="00CB562F">
        <w:rPr>
          <w:rFonts w:cstheme="minorHAnsi"/>
          <w:color w:val="000000" w:themeColor="text1"/>
        </w:rPr>
        <w:t>Biagioli M,Pinto M,Cesselli D.Unexpected expression of alpha and beta globin in mesencephalic dopaminergic neurons and glial cells.Proc Natl Acad Sci USA.2009:106(36):15454-15459.</w:t>
      </w:r>
    </w:p>
    <w:p w:rsidR="00E8263B" w:rsidRPr="00CB562F" w:rsidRDefault="00E8263B" w:rsidP="00E8263B">
      <w:pPr>
        <w:pStyle w:val="NoSpacing"/>
        <w:numPr>
          <w:ilvl w:val="0"/>
          <w:numId w:val="26"/>
        </w:numPr>
        <w:jc w:val="both"/>
        <w:rPr>
          <w:rFonts w:cstheme="minorHAnsi"/>
          <w:color w:val="000000" w:themeColor="text1"/>
        </w:rPr>
      </w:pPr>
      <w:r w:rsidRPr="00CB562F">
        <w:rPr>
          <w:rFonts w:cstheme="minorHAnsi"/>
          <w:color w:val="000000" w:themeColor="text1"/>
        </w:rPr>
        <w:t>Ghai OP, Gupta P, Paul VK. Essential Paediatrics.6</w:t>
      </w:r>
      <w:r w:rsidRPr="00CB562F">
        <w:rPr>
          <w:rFonts w:cstheme="minorHAnsi"/>
          <w:color w:val="000000" w:themeColor="text1"/>
          <w:vertAlign w:val="superscript"/>
        </w:rPr>
        <w:t>th</w:t>
      </w:r>
      <w:r w:rsidRPr="00CB562F">
        <w:rPr>
          <w:rFonts w:cstheme="minorHAnsi"/>
          <w:color w:val="000000" w:themeColor="text1"/>
        </w:rPr>
        <w:t>edition, New-Delhi, Mehta publishers, 1982; 66-67.</w:t>
      </w:r>
    </w:p>
    <w:p w:rsidR="00E8263B" w:rsidRPr="00CB562F" w:rsidRDefault="00E8263B" w:rsidP="00E8263B">
      <w:pPr>
        <w:pStyle w:val="NoSpacing"/>
        <w:numPr>
          <w:ilvl w:val="0"/>
          <w:numId w:val="26"/>
        </w:numPr>
        <w:jc w:val="both"/>
        <w:rPr>
          <w:rFonts w:cstheme="minorHAnsi"/>
          <w:color w:val="000000" w:themeColor="text1"/>
        </w:rPr>
      </w:pPr>
      <w:r w:rsidRPr="00CB562F">
        <w:rPr>
          <w:rFonts w:cstheme="minorHAnsi"/>
          <w:color w:val="000000" w:themeColor="text1"/>
        </w:rPr>
        <w:t>Wintrobe MN.Clinical Hematology.7</w:t>
      </w:r>
      <w:r w:rsidRPr="00CB562F">
        <w:rPr>
          <w:rFonts w:cstheme="minorHAnsi"/>
          <w:color w:val="000000" w:themeColor="text1"/>
          <w:vertAlign w:val="superscript"/>
        </w:rPr>
        <w:t>th</w:t>
      </w:r>
      <w:r w:rsidRPr="00CB562F">
        <w:rPr>
          <w:rFonts w:cstheme="minorHAnsi"/>
          <w:color w:val="000000" w:themeColor="text1"/>
        </w:rPr>
        <w:t xml:space="preserve"> edition, Philadelphia, LEA and Febiger, 1975; 114-115.</w:t>
      </w:r>
    </w:p>
    <w:p w:rsidR="00E8263B" w:rsidRPr="00CB562F" w:rsidRDefault="00E8263B" w:rsidP="00E8263B">
      <w:pPr>
        <w:pStyle w:val="NoSpacing"/>
        <w:numPr>
          <w:ilvl w:val="0"/>
          <w:numId w:val="26"/>
        </w:numPr>
        <w:jc w:val="both"/>
        <w:rPr>
          <w:rFonts w:cstheme="minorHAnsi"/>
          <w:color w:val="000000" w:themeColor="text1"/>
        </w:rPr>
      </w:pPr>
      <w:r w:rsidRPr="00CB562F">
        <w:rPr>
          <w:rFonts w:cstheme="minorHAnsi"/>
          <w:color w:val="000000" w:themeColor="text1"/>
        </w:rPr>
        <w:t>Das S, Gandhi A, Mondal S. Effect of premenstrual stress on audiovisual reaction time and audiogram.IJPP 1997; 41: 67-70.</w:t>
      </w:r>
    </w:p>
    <w:p w:rsidR="00E8263B" w:rsidRPr="00CB562F" w:rsidRDefault="00E8263B" w:rsidP="00E8263B">
      <w:pPr>
        <w:pStyle w:val="NoSpacing"/>
        <w:numPr>
          <w:ilvl w:val="0"/>
          <w:numId w:val="26"/>
        </w:numPr>
        <w:jc w:val="both"/>
        <w:rPr>
          <w:rFonts w:cstheme="minorHAnsi"/>
          <w:color w:val="000000" w:themeColor="text1"/>
        </w:rPr>
      </w:pPr>
      <w:r w:rsidRPr="00CB562F">
        <w:rPr>
          <w:rFonts w:cstheme="minorHAnsi"/>
          <w:color w:val="000000" w:themeColor="text1"/>
        </w:rPr>
        <w:t>Nikam LH, Gadkari JV. Effect of age, gender and body mass index on visual and auditory reaction time in Indian population.IJPP, 2012; 56(1):96.</w:t>
      </w:r>
    </w:p>
    <w:p w:rsidR="00E8263B" w:rsidRPr="00CB562F" w:rsidRDefault="00E8263B" w:rsidP="00E8263B">
      <w:pPr>
        <w:pStyle w:val="NoSpacing"/>
        <w:numPr>
          <w:ilvl w:val="0"/>
          <w:numId w:val="26"/>
        </w:numPr>
        <w:jc w:val="both"/>
        <w:rPr>
          <w:rFonts w:cstheme="minorHAnsi"/>
          <w:color w:val="000000" w:themeColor="text1"/>
        </w:rPr>
      </w:pPr>
      <w:r w:rsidRPr="00CB562F">
        <w:rPr>
          <w:rFonts w:cstheme="minorHAnsi"/>
          <w:color w:val="000000" w:themeColor="text1"/>
        </w:rPr>
        <w:t xml:space="preserve">Breitmeyer BG, Breier JI. Effects of background colour on reaction time to stimuli varying in size and contrast: inferences about human M </w:t>
      </w:r>
      <w:r w:rsidRPr="00CB562F">
        <w:rPr>
          <w:rFonts w:cstheme="minorHAnsi"/>
          <w:color w:val="000000" w:themeColor="text1"/>
        </w:rPr>
        <w:lastRenderedPageBreak/>
        <w:t>channels.Vision research, 34; 8:1039-1045.</w:t>
      </w:r>
    </w:p>
    <w:p w:rsidR="00E8263B" w:rsidRPr="00CB562F" w:rsidRDefault="00E8263B" w:rsidP="00E8263B">
      <w:pPr>
        <w:pStyle w:val="NoSpacing"/>
        <w:numPr>
          <w:ilvl w:val="0"/>
          <w:numId w:val="26"/>
        </w:numPr>
        <w:jc w:val="both"/>
        <w:rPr>
          <w:rFonts w:cstheme="minorHAnsi"/>
          <w:color w:val="000000" w:themeColor="text1"/>
        </w:rPr>
      </w:pPr>
      <w:r w:rsidRPr="00CB562F">
        <w:rPr>
          <w:rFonts w:cstheme="minorHAnsi"/>
          <w:color w:val="000000" w:themeColor="text1"/>
        </w:rPr>
        <w:t>Grantham S, Mcgregor S, Ani C .A  review of  studies on the effects of  iron deficiency anemia on cognitive development in children.J Nutr 2001;131:649-668.</w:t>
      </w:r>
    </w:p>
    <w:p w:rsidR="00E8263B" w:rsidRPr="00CB562F" w:rsidRDefault="00E8263B" w:rsidP="00E8263B">
      <w:pPr>
        <w:pStyle w:val="NoSpacing"/>
        <w:numPr>
          <w:ilvl w:val="0"/>
          <w:numId w:val="26"/>
        </w:numPr>
        <w:jc w:val="both"/>
        <w:rPr>
          <w:rFonts w:cstheme="minorHAnsi"/>
          <w:color w:val="000000" w:themeColor="text1"/>
        </w:rPr>
      </w:pPr>
      <w:r w:rsidRPr="00CB562F">
        <w:rPr>
          <w:rFonts w:cstheme="minorHAnsi"/>
          <w:color w:val="000000" w:themeColor="text1"/>
        </w:rPr>
        <w:t>Sachdev HPS, Gera T. Effect of iron supplementation on physical growth in children: systemic review of randomized control trial, Public health nutrition 2006, 9:904-920.</w:t>
      </w:r>
    </w:p>
    <w:p w:rsidR="00E8263B" w:rsidRPr="00CB562F" w:rsidRDefault="00E8263B" w:rsidP="00E8263B">
      <w:pPr>
        <w:pStyle w:val="NoSpacing"/>
        <w:numPr>
          <w:ilvl w:val="0"/>
          <w:numId w:val="26"/>
        </w:numPr>
        <w:jc w:val="both"/>
        <w:rPr>
          <w:rFonts w:cstheme="minorHAnsi"/>
          <w:color w:val="000000" w:themeColor="text1"/>
        </w:rPr>
      </w:pPr>
      <w:r w:rsidRPr="00CB562F">
        <w:rPr>
          <w:rFonts w:cstheme="minorHAnsi"/>
          <w:color w:val="000000" w:themeColor="text1"/>
        </w:rPr>
        <w:t>Lozoff B, Georgieff MK. Iron deficiency and brain development. Seminars in Pediatric Neurology.2006; 13: 158-165.</w:t>
      </w:r>
    </w:p>
    <w:p w:rsidR="00E8263B" w:rsidRPr="00CB562F" w:rsidRDefault="00E8263B" w:rsidP="00E8263B">
      <w:pPr>
        <w:pStyle w:val="NoSpacing"/>
        <w:numPr>
          <w:ilvl w:val="0"/>
          <w:numId w:val="26"/>
        </w:numPr>
        <w:jc w:val="both"/>
        <w:rPr>
          <w:rFonts w:cstheme="minorHAnsi"/>
          <w:color w:val="000000" w:themeColor="text1"/>
        </w:rPr>
      </w:pPr>
      <w:r w:rsidRPr="00CB562F">
        <w:rPr>
          <w:rFonts w:cstheme="minorHAnsi"/>
          <w:color w:val="000000" w:themeColor="text1"/>
        </w:rPr>
        <w:t>Lucca U, Tettamanti M. Association of mild anemia with cognitive functional, mood and quality of life outcomes in the elderly: The “Health and Anemia “study. Italy plus-one, 2008.</w:t>
      </w:r>
    </w:p>
    <w:p w:rsidR="00E8263B" w:rsidRPr="00CB562F" w:rsidRDefault="00E8263B" w:rsidP="00E8263B">
      <w:pPr>
        <w:pStyle w:val="NoSpacing"/>
        <w:numPr>
          <w:ilvl w:val="0"/>
          <w:numId w:val="26"/>
        </w:numPr>
        <w:jc w:val="both"/>
        <w:rPr>
          <w:rFonts w:cstheme="minorHAnsi"/>
          <w:color w:val="000000" w:themeColor="text1"/>
        </w:rPr>
      </w:pPr>
      <w:r w:rsidRPr="00CB562F">
        <w:rPr>
          <w:rFonts w:cstheme="minorHAnsi"/>
          <w:color w:val="000000" w:themeColor="text1"/>
        </w:rPr>
        <w:t>Katasaras E, Adam E, Dewey KG.effect of iron supplementation on cognition in Greek preschoolers. Europ J Clin Nutr 2004: 58,1532-1542.</w:t>
      </w:r>
    </w:p>
    <w:p w:rsidR="00E8263B" w:rsidRPr="00CB562F" w:rsidRDefault="00E8263B" w:rsidP="00E8263B">
      <w:pPr>
        <w:pStyle w:val="NoSpacing"/>
        <w:numPr>
          <w:ilvl w:val="0"/>
          <w:numId w:val="26"/>
        </w:numPr>
        <w:jc w:val="both"/>
        <w:rPr>
          <w:rFonts w:cstheme="minorHAnsi"/>
          <w:color w:val="000000" w:themeColor="text1"/>
        </w:rPr>
      </w:pPr>
      <w:r w:rsidRPr="00CB562F">
        <w:rPr>
          <w:rFonts w:cstheme="minorHAnsi"/>
          <w:color w:val="000000" w:themeColor="text1"/>
        </w:rPr>
        <w:t>Beard J.Iron biology in immune function, muscle metabolism and neuronal function. J Nutr, 2001, 131,568-580.</w:t>
      </w:r>
    </w:p>
    <w:p w:rsidR="00E8263B" w:rsidRPr="00CB562F" w:rsidRDefault="00E8263B" w:rsidP="00E8263B">
      <w:pPr>
        <w:pStyle w:val="NoSpacing"/>
        <w:numPr>
          <w:ilvl w:val="0"/>
          <w:numId w:val="26"/>
        </w:numPr>
        <w:jc w:val="both"/>
        <w:rPr>
          <w:rFonts w:cstheme="minorHAnsi"/>
          <w:color w:val="000000" w:themeColor="text1"/>
        </w:rPr>
      </w:pPr>
      <w:r w:rsidRPr="00CB562F">
        <w:rPr>
          <w:rFonts w:cstheme="minorHAnsi"/>
          <w:color w:val="000000" w:themeColor="text1"/>
        </w:rPr>
        <w:t>Pollitt E, Leibel RL, Viteri FE. Iron deficiency and behavioral development in infants and preschool children. The American Journal of Clinical Nutrition 1986; 43:555-565.</w:t>
      </w:r>
    </w:p>
    <w:p w:rsidR="00E8263B" w:rsidRPr="00CB562F" w:rsidRDefault="00E8263B" w:rsidP="00E8263B">
      <w:pPr>
        <w:pStyle w:val="NoSpacing"/>
        <w:jc w:val="both"/>
        <w:rPr>
          <w:rFonts w:cstheme="minorHAnsi"/>
          <w:color w:val="000000" w:themeColor="text1"/>
        </w:rPr>
      </w:pPr>
    </w:p>
    <w:p w:rsidR="00E8263B" w:rsidRPr="00CB562F" w:rsidRDefault="00E8263B" w:rsidP="00E8263B">
      <w:pPr>
        <w:pStyle w:val="NoSpacing"/>
        <w:jc w:val="both"/>
        <w:rPr>
          <w:rFonts w:cstheme="minorHAnsi"/>
          <w:color w:val="000000" w:themeColor="text1"/>
          <w:vertAlign w:val="superscript"/>
        </w:rPr>
      </w:pPr>
      <w:r w:rsidRPr="00CB562F">
        <w:rPr>
          <w:rFonts w:cstheme="minorHAnsi"/>
          <w:b/>
          <w:color w:val="000000" w:themeColor="text1"/>
        </w:rPr>
        <w:t xml:space="preserve">Disclosure: </w:t>
      </w:r>
      <w:r w:rsidRPr="00CB562F">
        <w:rPr>
          <w:rFonts w:cstheme="minorHAnsi"/>
          <w:color w:val="000000" w:themeColor="text1"/>
        </w:rPr>
        <w:t>No conflicts of interest, financial or otherwise are declared by the authors.</w:t>
      </w:r>
    </w:p>
    <w:p w:rsidR="00E8263B" w:rsidRPr="00CB562F" w:rsidRDefault="00E8263B" w:rsidP="00E8263B">
      <w:pPr>
        <w:pStyle w:val="NoSpacing"/>
        <w:jc w:val="both"/>
        <w:rPr>
          <w:rFonts w:cstheme="minorHAnsi"/>
          <w:color w:val="000000" w:themeColor="text1"/>
        </w:rPr>
      </w:pPr>
    </w:p>
    <w:p w:rsidR="00E8263B" w:rsidRPr="00CB562F" w:rsidRDefault="00E8263B" w:rsidP="00E8263B">
      <w:pPr>
        <w:pStyle w:val="NoSpacing"/>
        <w:jc w:val="both"/>
        <w:rPr>
          <w:rFonts w:cstheme="minorHAnsi"/>
          <w:color w:val="000000" w:themeColor="text1"/>
          <w:vertAlign w:val="superscript"/>
        </w:rPr>
        <w:sectPr w:rsidR="00E8263B" w:rsidRPr="00CB562F" w:rsidSect="00F9738B">
          <w:headerReference w:type="default" r:id="rId8"/>
          <w:footerReference w:type="default" r:id="rId9"/>
          <w:type w:val="continuous"/>
          <w:pgSz w:w="11907" w:h="16839" w:code="9"/>
          <w:pgMar w:top="1440" w:right="864" w:bottom="864" w:left="1440" w:header="720" w:footer="144" w:gutter="0"/>
          <w:pgNumType w:start="79"/>
          <w:cols w:num="2" w:space="720"/>
          <w:docGrid w:linePitch="360"/>
        </w:sectPr>
      </w:pPr>
    </w:p>
    <w:p w:rsidR="00E8263B" w:rsidRPr="00CB562F" w:rsidRDefault="00E8263B" w:rsidP="00E8263B">
      <w:pPr>
        <w:pStyle w:val="NoSpacing"/>
        <w:jc w:val="both"/>
        <w:rPr>
          <w:rFonts w:cstheme="minorHAnsi"/>
          <w:color w:val="000000" w:themeColor="text1"/>
          <w:vertAlign w:val="superscript"/>
        </w:rPr>
      </w:pPr>
    </w:p>
    <w:p w:rsidR="00E8263B" w:rsidRPr="00CB562F" w:rsidRDefault="00E8263B" w:rsidP="00E8263B">
      <w:pPr>
        <w:pStyle w:val="NoSpacing"/>
        <w:jc w:val="both"/>
        <w:rPr>
          <w:rFonts w:cstheme="minorHAnsi"/>
          <w:color w:val="000000" w:themeColor="text1"/>
          <w:vertAlign w:val="superscript"/>
        </w:rPr>
      </w:pPr>
    </w:p>
    <w:p w:rsidR="00E8263B" w:rsidRPr="00CB562F" w:rsidRDefault="00E8263B" w:rsidP="00E8263B">
      <w:pPr>
        <w:pStyle w:val="NoSpacing"/>
        <w:jc w:val="both"/>
        <w:rPr>
          <w:rFonts w:cstheme="minorHAnsi"/>
          <w:color w:val="000000" w:themeColor="text1"/>
          <w:vertAlign w:val="superscript"/>
        </w:rPr>
      </w:pPr>
    </w:p>
    <w:p w:rsidR="00E8263B" w:rsidRPr="00CB562F" w:rsidRDefault="00E8263B" w:rsidP="00E8263B">
      <w:pPr>
        <w:pStyle w:val="NoSpacing"/>
        <w:jc w:val="center"/>
        <w:rPr>
          <w:rFonts w:cstheme="minorHAnsi"/>
          <w:b/>
          <w:bCs/>
          <w:color w:val="000000" w:themeColor="text1"/>
          <w:sz w:val="28"/>
          <w:szCs w:val="28"/>
        </w:rPr>
      </w:pPr>
    </w:p>
    <w:p w:rsidR="00E8263B" w:rsidRPr="00CB562F" w:rsidRDefault="00E8263B" w:rsidP="00E8263B">
      <w:pPr>
        <w:pStyle w:val="NoSpacing"/>
        <w:jc w:val="center"/>
        <w:rPr>
          <w:rFonts w:cstheme="minorHAnsi"/>
          <w:b/>
          <w:bCs/>
          <w:color w:val="000000" w:themeColor="text1"/>
          <w:sz w:val="28"/>
          <w:szCs w:val="28"/>
        </w:rPr>
      </w:pPr>
    </w:p>
    <w:p w:rsidR="007812A0" w:rsidRPr="00E8263B" w:rsidRDefault="007812A0" w:rsidP="00E8263B"/>
    <w:sectPr w:rsidR="007812A0" w:rsidRPr="00E8263B" w:rsidSect="006E2971">
      <w:headerReference w:type="default" r:id="rId10"/>
      <w:footerReference w:type="default" r:id="rId11"/>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4896" w:rsidRDefault="005C4896" w:rsidP="005C1565">
      <w:pPr>
        <w:spacing w:after="0" w:line="240" w:lineRule="auto"/>
      </w:pPr>
      <w:r>
        <w:separator/>
      </w:r>
    </w:p>
  </w:endnote>
  <w:endnote w:type="continuationSeparator" w:id="1">
    <w:p w:rsidR="005C4896" w:rsidRDefault="005C4896"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263B" w:rsidRDefault="00E8263B">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Pr="00E8263B">
        <w:rPr>
          <w:rFonts w:asciiTheme="majorHAnsi" w:hAnsiTheme="majorHAnsi"/>
          <w:noProof/>
        </w:rPr>
        <w:t>80</w:t>
      </w:r>
    </w:fldSimple>
  </w:p>
  <w:p w:rsidR="00E8263B" w:rsidRPr="004B2AD6" w:rsidRDefault="00E8263B" w:rsidP="004F6F8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E8263B" w:rsidRPr="00E8263B">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4896" w:rsidRDefault="005C4896" w:rsidP="005C1565">
      <w:pPr>
        <w:spacing w:after="0" w:line="240" w:lineRule="auto"/>
      </w:pPr>
      <w:r>
        <w:separator/>
      </w:r>
    </w:p>
  </w:footnote>
  <w:footnote w:type="continuationSeparator" w:id="1">
    <w:p w:rsidR="005C4896" w:rsidRDefault="005C4896"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329"/>
      <w:placeholder>
        <w:docPart w:val="C3BF121D53374BD8B274F9F2CA92A067"/>
      </w:placeholder>
      <w:dataBinding w:prefixMappings="xmlns:ns0='http://schemas.openxmlformats.org/package/2006/metadata/core-properties' xmlns:ns1='http://purl.org/dc/elements/1.1/'" w:xpath="/ns0:coreProperties[1]/ns1:title[1]" w:storeItemID="{6C3C8BC8-F283-45AE-878A-BAB7291924A1}"/>
      <w:text/>
    </w:sdtPr>
    <w:sdtContent>
      <w:p w:rsidR="00E8263B" w:rsidRPr="002C1F7B" w:rsidRDefault="00E8263B" w:rsidP="00016684">
        <w:pPr>
          <w:pStyle w:val="Header"/>
          <w:pBdr>
            <w:bottom w:val="thickThin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International Journal of Basic and Applied Physiology</w:t>
        </w:r>
      </w:p>
    </w:sdtContent>
  </w:sdt>
  <w:p w:rsidR="00E8263B" w:rsidRDefault="00E8263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r w:rsidR="00313F83">
      <w:rPr>
        <w:rFonts w:asciiTheme="majorHAnsi" w:eastAsiaTheme="majorEastAsia" w:hAnsiTheme="majorHAnsi" w:cstheme="majorBidi"/>
      </w:rPr>
    </w:r>
  </w:p>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45EA"/>
    <w:rsid w:val="0006653B"/>
    <w:rsid w:val="00073E2F"/>
    <w:rsid w:val="000850DB"/>
    <w:rsid w:val="0008551B"/>
    <w:rsid w:val="0008731C"/>
    <w:rsid w:val="00091E77"/>
    <w:rsid w:val="0009577B"/>
    <w:rsid w:val="000C4801"/>
    <w:rsid w:val="000D348B"/>
    <w:rsid w:val="000E2902"/>
    <w:rsid w:val="00103579"/>
    <w:rsid w:val="001042D5"/>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162E8"/>
    <w:rsid w:val="00325F75"/>
    <w:rsid w:val="003330FE"/>
    <w:rsid w:val="00334681"/>
    <w:rsid w:val="003443B2"/>
    <w:rsid w:val="00351BBC"/>
    <w:rsid w:val="003520EA"/>
    <w:rsid w:val="003665F3"/>
    <w:rsid w:val="003830DD"/>
    <w:rsid w:val="00390733"/>
    <w:rsid w:val="00390964"/>
    <w:rsid w:val="003926A2"/>
    <w:rsid w:val="00395C3D"/>
    <w:rsid w:val="003975E7"/>
    <w:rsid w:val="003D692E"/>
    <w:rsid w:val="003E1FAA"/>
    <w:rsid w:val="003F6F06"/>
    <w:rsid w:val="0040223B"/>
    <w:rsid w:val="00403991"/>
    <w:rsid w:val="00403A4D"/>
    <w:rsid w:val="00422E2A"/>
    <w:rsid w:val="00450A2C"/>
    <w:rsid w:val="00451474"/>
    <w:rsid w:val="0045584A"/>
    <w:rsid w:val="00463B00"/>
    <w:rsid w:val="00464142"/>
    <w:rsid w:val="0046708E"/>
    <w:rsid w:val="00467F87"/>
    <w:rsid w:val="00470BF5"/>
    <w:rsid w:val="00473972"/>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C4896"/>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812A0"/>
    <w:rsid w:val="00790186"/>
    <w:rsid w:val="00794507"/>
    <w:rsid w:val="007B24C6"/>
    <w:rsid w:val="007B4A8F"/>
    <w:rsid w:val="007B7839"/>
    <w:rsid w:val="007C5523"/>
    <w:rsid w:val="0080093F"/>
    <w:rsid w:val="00801939"/>
    <w:rsid w:val="00810065"/>
    <w:rsid w:val="00814A5C"/>
    <w:rsid w:val="00821BEA"/>
    <w:rsid w:val="00822AAF"/>
    <w:rsid w:val="00823422"/>
    <w:rsid w:val="00827103"/>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065B"/>
    <w:rsid w:val="008C7D0C"/>
    <w:rsid w:val="008D01F6"/>
    <w:rsid w:val="008E74F7"/>
    <w:rsid w:val="009159DC"/>
    <w:rsid w:val="00934EE6"/>
    <w:rsid w:val="00946107"/>
    <w:rsid w:val="009530F6"/>
    <w:rsid w:val="00965417"/>
    <w:rsid w:val="00965DB7"/>
    <w:rsid w:val="00972596"/>
    <w:rsid w:val="009764FE"/>
    <w:rsid w:val="00980BF6"/>
    <w:rsid w:val="00987B6A"/>
    <w:rsid w:val="0099077A"/>
    <w:rsid w:val="009A0FF0"/>
    <w:rsid w:val="009B065C"/>
    <w:rsid w:val="009B06FA"/>
    <w:rsid w:val="009B66C3"/>
    <w:rsid w:val="009B7013"/>
    <w:rsid w:val="009D36F6"/>
    <w:rsid w:val="009F44D8"/>
    <w:rsid w:val="00A02883"/>
    <w:rsid w:val="00A23AAD"/>
    <w:rsid w:val="00A27FF7"/>
    <w:rsid w:val="00A32051"/>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B657F"/>
    <w:rsid w:val="00BC0ECA"/>
    <w:rsid w:val="00BC38C1"/>
    <w:rsid w:val="00BD191D"/>
    <w:rsid w:val="00BE3329"/>
    <w:rsid w:val="00C14C49"/>
    <w:rsid w:val="00C333D5"/>
    <w:rsid w:val="00C47716"/>
    <w:rsid w:val="00C71B62"/>
    <w:rsid w:val="00C74951"/>
    <w:rsid w:val="00C75475"/>
    <w:rsid w:val="00C95DD3"/>
    <w:rsid w:val="00C96D0D"/>
    <w:rsid w:val="00CA45E7"/>
    <w:rsid w:val="00CB23CF"/>
    <w:rsid w:val="00CB562F"/>
    <w:rsid w:val="00CE714E"/>
    <w:rsid w:val="00CF2854"/>
    <w:rsid w:val="00CF3F28"/>
    <w:rsid w:val="00D07C87"/>
    <w:rsid w:val="00D2147A"/>
    <w:rsid w:val="00D23A81"/>
    <w:rsid w:val="00D3058B"/>
    <w:rsid w:val="00D331ED"/>
    <w:rsid w:val="00D34BEF"/>
    <w:rsid w:val="00D37CBB"/>
    <w:rsid w:val="00D43767"/>
    <w:rsid w:val="00D54418"/>
    <w:rsid w:val="00D74BD0"/>
    <w:rsid w:val="00D8217C"/>
    <w:rsid w:val="00DA73B4"/>
    <w:rsid w:val="00DB2479"/>
    <w:rsid w:val="00DC01FD"/>
    <w:rsid w:val="00DC1B08"/>
    <w:rsid w:val="00DC4E60"/>
    <w:rsid w:val="00DC5F47"/>
    <w:rsid w:val="00DE0001"/>
    <w:rsid w:val="00DE7044"/>
    <w:rsid w:val="00E2317D"/>
    <w:rsid w:val="00E26514"/>
    <w:rsid w:val="00E54B56"/>
    <w:rsid w:val="00E74AFE"/>
    <w:rsid w:val="00E81AAC"/>
    <w:rsid w:val="00E8263B"/>
    <w:rsid w:val="00E96686"/>
    <w:rsid w:val="00EC563B"/>
    <w:rsid w:val="00ED34A2"/>
    <w:rsid w:val="00F350A8"/>
    <w:rsid w:val="00F56DCA"/>
    <w:rsid w:val="00F64C95"/>
    <w:rsid w:val="00F701A5"/>
    <w:rsid w:val="00F847C8"/>
    <w:rsid w:val="00F91389"/>
    <w:rsid w:val="00F9738B"/>
    <w:rsid w:val="00FB0487"/>
    <w:rsid w:val="00FC5F63"/>
    <w:rsid w:val="00FC695E"/>
    <w:rsid w:val="00FE5B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263B"/>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C3BF121D53374BD8B274F9F2CA92A067"/>
        <w:category>
          <w:name w:val="General"/>
          <w:gallery w:val="placeholder"/>
        </w:category>
        <w:types>
          <w:type w:val="bbPlcHdr"/>
        </w:types>
        <w:behaviors>
          <w:behavior w:val="content"/>
        </w:behaviors>
        <w:guid w:val="{81BEF4D7-5595-4835-8B47-C6763CBB31A6}"/>
      </w:docPartPr>
      <w:docPartBody>
        <w:p w:rsidR="00000000" w:rsidRDefault="0083328E" w:rsidP="0083328E">
          <w:pPr>
            <w:pStyle w:val="C3BF121D53374BD8B274F9F2CA92A067"/>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 w:type="paragraph" w:customStyle="1" w:styleId="002E231E7147481A9B66DA2AB8E162E1">
    <w:name w:val="002E231E7147481A9B66DA2AB8E162E1"/>
    <w:rsid w:val="0083328E"/>
    <w:rPr>
      <w:lang w:bidi="ar-SA"/>
    </w:rPr>
  </w:style>
  <w:style w:type="paragraph" w:customStyle="1" w:styleId="889F566595BF4DB2A703142B14C0753F">
    <w:name w:val="889F566595BF4DB2A703142B14C0753F"/>
    <w:rsid w:val="0083328E"/>
    <w:rPr>
      <w:lang w:bidi="ar-SA"/>
    </w:rPr>
  </w:style>
  <w:style w:type="paragraph" w:customStyle="1" w:styleId="7CFF95CDE23C4BF0A8CEA4C2A35120F6">
    <w:name w:val="7CFF95CDE23C4BF0A8CEA4C2A35120F6"/>
    <w:rsid w:val="0083328E"/>
    <w:rPr>
      <w:lang w:bidi="ar-SA"/>
    </w:rPr>
  </w:style>
  <w:style w:type="paragraph" w:customStyle="1" w:styleId="D821719251264E1CBE6A6D54F623D9BA">
    <w:name w:val="D821719251264E1CBE6A6D54F623D9BA"/>
    <w:rsid w:val="0083328E"/>
    <w:rPr>
      <w:lang w:bidi="ar-SA"/>
    </w:rPr>
  </w:style>
  <w:style w:type="paragraph" w:customStyle="1" w:styleId="F8144D0F28C647229040658F1AF0D53F">
    <w:name w:val="F8144D0F28C647229040658F1AF0D53F"/>
    <w:rsid w:val="0083328E"/>
    <w:rPr>
      <w:lang w:bidi="ar-SA"/>
    </w:rPr>
  </w:style>
  <w:style w:type="paragraph" w:customStyle="1" w:styleId="C3BF121D53374BD8B274F9F2CA92A067">
    <w:name w:val="C3BF121D53374BD8B274F9F2CA92A067"/>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2163</Words>
  <Characters>12333</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14468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2017-11-06T08:01:00Z</dcterms:created>
  <dcterms:modified xsi:type="dcterms:W3CDTF">2017-11-06T08:01:00Z</dcterms:modified>
</cp:coreProperties>
</file>